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30"/>
        </w:rPr>
        <w:t xml:space="preserve"/>
      </w:r>
    </w:p>
    <w:p>
      <w:pPr>
        <w:spacing w:before="0" w:after="60"/>
      </w:pPr>
      <w:r>
        <w:rPr>
          <w:rFonts w:ascii="Inter" w:hAnsi="Inter" w:cs="Inter"/>
          <w:b/>
          <w:color w:val="004800"/>
          <w:sz w:val="58"/>
        </w:rPr>
        <w:t xml:space="preserve">OXXON FAST™</w:t>
      </w:r>
    </w:p>
    <w:p>
      <w:pPr>
        <w:spacing w:before="0" w:after="0"/>
      </w:pPr>
      <w:r>
        <w:rPr>
          <w:rFonts w:ascii="Inter" w:hAnsi="Inter" w:cs="Inter"/>
          <w:b/>
          <w:caps/>
          <w:color w:val="1A1D1B"/>
          <w:sz w:val="24"/>
        </w:rPr>
        <w:t xml:space="preserve">· Executive Report</w:t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BM Plex Mono" w:hAnsi="IBM Plex Mono" w:cs="IBM Plex Mono"/>
          <w:color w:val="6B7280"/>
          <w:sz w:val="18"/>
        </w:rPr>
        <w:t xml:space="preserve">fast_violations.xlsx    ·    fast-sample-report-0001    ·    Reviewed 1 January 2026    ·    CONFIDENTIAL</w:t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2D2D2D"/>
          <w:sz w:val="21"/>
        </w:rPr>
        <w:t xml:space="preserve"/>
      </w:r>
    </w:p>
    <w:p>
      <w:pPr>
        <w:spacing w:before="0" w:after="120"/>
        <w:pBdr>
          <w:bottom w:val="single" w:sz="6" w:space="4" w:color="E5E7EB"/>
        </w:pBdr>
      </w:pPr>
      <w:r>
        <w:rPr>
          <w:rFonts w:ascii="Inter" w:hAnsi="Inter" w:cs="Inter"/>
          <w:color w:val="2D2D2D"/>
          <w:sz w:val="18"/>
        </w:rPr>
        <w:t xml:space="preserve"/>
      </w:r>
    </w:p>
    <w:p>
      <w:pPr>
        <w:spacing w:before="0" w:after="0"/>
      </w:pPr>
      <w:r>
        <w:rPr>
          <w:rFonts w:ascii="Inter" w:hAnsi="Inter" w:cs="Inter"/>
          <w:color w:val="6B7280"/>
          <w:sz w:val="21"/>
        </w:rPr>
        <w:t xml:space="preserve">Issued by </w:t>
      </w:r>
      <w:r>
        <w:rPr>
          <w:rFonts w:ascii="Inter" w:hAnsi="Inter" w:cs="Inter"/>
          <w:b/>
          <w:color w:val="1A1D1B"/>
          <w:sz w:val="21"/>
        </w:rPr>
        <w:t xml:space="preserve">Oxxon Advisors</w:t>
      </w:r>
    </w:p>
    <w:p>
      <w:r>
        <w:br w:type="page"/>
      </w:r>
    </w:p>
    <w:p>
      <w:pPr>
        <w:spacing w:before="960" w:after="180"/>
        <w:keepNext/>
        <w:pBdr>
          <w:bottom w:val="single" w:sz="6" w:space="4" w:color="E5E7EB"/>
        </w:pBdr>
      </w:pPr>
      <w:r>
        <w:rPr>
          <w:rFonts w:ascii="Inter" w:hAnsi="Inter" w:cs="Inter"/>
          <w:b/>
          <w:color w:val="1A1D1B"/>
          <w:sz w:val="22"/>
        </w:rPr>
        <w:t xml:space="preserve">1. Result</w:t>
      </w:r>
    </w:p>
    <w:p>
      <w:pPr>
        <w:pBdr>
          <w:top w:val="single" w:sz="6" w:space="6" w:color="991B1B"/>
          <w:left w:val="single" w:sz="6" w:space="6" w:color="991B1B"/>
          <w:bottom w:val="single" w:sz="6" w:space="6" w:color="991B1B"/>
          <w:right w:val="single" w:sz="6" w:space="6" w:color="991B1B"/>
        </w:pBdr>
        <w:shd w:val="clear" w:color="auto" w:fill="FDECEC"/>
        <w:spacing w:before="120" w:after="120"/>
        <w:ind w:left="120" w:right="120"/>
      </w:pPr>
      <w:r>
        <w:rPr>
          <w:rFonts w:ascii="Inter" w:hAnsi="Inter" w:cs="Inter"/>
          <w:b/>
          <w:color w:val="1A1D1B"/>
          <w:sz w:val="24"/>
        </w:rPr>
        <w:t xml:space="preserve">REVIEW REQUIRED before this model is relied upon.</w:t>
      </w:r>
    </w:p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  <w:tblBorders>
          <w:top w:val="single" w:sz="4" w:space="0" w:color="D1D5DB"/>
          <w:left w:val="nil"/>
          <w:bottom w:val="single" w:sz="4" w:space="0" w:color="D1D5DB"/>
          <w:right w:val="nil"/>
          <w:insideH w:val="single" w:sz="2" w:space="0" w:color="E5E7EB"/>
          <w:insideV w:val="nil"/>
        </w:tblBorders>
      </w:tblPr>
      <w:tblGrid>
        <w:gridCol w:w="2340"/>
        <w:gridCol w:w="2340"/>
        <w:gridCol w:w="2340"/>
        <w:gridCol w:w="2340"/>
      </w:tblGrid>
      <w:tr>
        <w:tc>
          <w:tcPr>
            <w:shd w:val="clear" w:color="auto" w:fill="FDECEC"/>
          </w:tcPr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991B1B"/>
                <w:sz w:val="22"/>
              </w:rPr>
              <w:t xml:space="preserve">CRITICAL</w:t>
            </w:r>
          </w:p>
        </w:tc>
        <w:tc>
          <w:tcPr>
            <w:shd w:val="clear" w:color="auto" w:fill="FDECEC"/>
          </w:tcPr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991B1B"/>
                <w:sz w:val="22"/>
              </w:rPr>
              <w:t xml:space="preserve">HIGH</w:t>
            </w:r>
          </w:p>
        </w:tc>
        <w:tc>
          <w:tcPr>
            <w:shd w:val="clear" w:color="auto" w:fill="FEF3E2"/>
          </w:tcPr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B45309"/>
                <w:sz w:val="22"/>
              </w:rPr>
              <w:t xml:space="preserve">MEDIUM</w:t>
            </w:r>
          </w:p>
        </w:tc>
        <w:tc>
          <w:tcPr>
            <w:shd w:val="clear" w:color="auto" w:fill="E8F3E8"/>
          </w:tcPr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004800"/>
                <w:sz w:val="22"/>
              </w:rPr>
              <w:t xml:space="preserve">LOW</w:t>
            </w:r>
          </w:p>
        </w:tc>
      </w:tr>
      <w:tr>
        <w:tc>
          <w:tcPr/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1A1D1B"/>
                <w:sz w:val="24"/>
              </w:rPr>
              <w:t xml:space="preserve">1</w:t>
            </w:r>
          </w:p>
        </w:tc>
        <w:tc>
          <w:tcPr/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1A1D1B"/>
                <w:sz w:val="24"/>
              </w:rPr>
              <w:t xml:space="preserve">3</w:t>
            </w:r>
          </w:p>
        </w:tc>
        <w:tc>
          <w:tcPr/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1A1D1B"/>
                <w:sz w:val="24"/>
              </w:rPr>
              <w:t xml:space="preserve">6</w:t>
            </w:r>
          </w:p>
        </w:tc>
        <w:tc>
          <w:tcPr/>
          <w:p>
            <w:pPr>
              <w:spacing w:before="0" w:after="120"/>
              <w:jc w:val="center"/>
            </w:pPr>
            <w:r>
              <w:rPr>
                <w:rFonts w:ascii="Inter" w:hAnsi="Inter" w:cs="Inter"/>
                <w:b/>
                <w:color w:val="1A1D1B"/>
                <w:sz w:val="24"/>
              </w:rPr>
              <w:t xml:space="preserve">2</w:t>
            </w:r>
          </w:p>
        </w:tc>
      </w:tr>
    </w:tbl>
    <w:p>
      <w:pPr>
        <w:spacing w:before="180" w:after="120"/>
      </w:pPr>
      <w:r>
        <w:rPr>
          <w:rFonts w:ascii="Inter" w:hAnsi="Inter" w:cs="Inter"/>
          <w:color w:val="2D2D2D"/>
          <w:sz w:val="21"/>
        </w:rPr>
        <w:t xml:space="preserve">729 checks performed: 714 passed, 12 finding occurrences identified, and 3 could not be conclusively assessed. These 12 occurrences are grouped into 12 actionable issue groups.</w:t>
      </w:r>
    </w:p>
    <w:p>
      <w:pPr>
        <w:spacing w:before="960" w:after="180"/>
        <w:keepNext/>
        <w:pBdr>
          <w:bottom w:val="single" w:sz="6" w:space="4" w:color="E5E7EB"/>
        </w:pBdr>
      </w:pPr>
      <w:r>
        <w:rPr>
          <w:rFonts w:ascii="Inter" w:hAnsi="Inter" w:cs="Inter"/>
          <w:b/>
          <w:color w:val="1A1D1B"/>
          <w:sz w:val="22"/>
        </w:rPr>
        <w:t xml:space="preserve">2. Findings Summary</w:t>
      </w:r>
    </w:p>
    <w:tbl>
      <w:tblPr>
        <w:tblW w:w="9360" w:type="dxa"/>
        <w:tblLayout w:type="fixed"/>
        <w:tblBorders>
          <w:top w:val="single" w:sz="4" w:space="0" w:color="D1D5DB"/>
          <w:left w:val="nil"/>
          <w:bottom w:val="single" w:sz="4" w:space="0" w:color="D1D5DB"/>
          <w:right w:val="nil"/>
          <w:insideH w:val="single" w:sz="2" w:space="0" w:color="E5E7EB"/>
          <w:insideV w:val="nil"/>
        </w:tblBorders>
      </w:tblPr>
      <w:tblGrid>
        <w:gridCol w:w="520"/>
        <w:gridCol w:w="1360"/>
        <w:gridCol w:w="2400"/>
        <w:gridCol w:w="3460"/>
        <w:gridCol w:w="1620"/>
      </w:tblGrid>
      <w:tr>
        <w:tc>
          <w:tcPr>
            <w:shd w:val="clear" w:color="auto" w:fill="1A1D1B"/>
          </w:tcPr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b/>
                <w:caps/>
                <w:color w:val="FFFFFF"/>
                <w:sz w:val="18"/>
              </w:rPr>
              <w:t xml:space="preserve">#</w:t>
            </w:r>
          </w:p>
        </w:tc>
        <w:tc>
          <w:tcPr>
            <w:shd w:val="clear" w:color="auto" w:fill="1A1D1B"/>
          </w:tcPr>
          <w:p>
            <w:pPr>
              <w:spacing w:before="0" w:after="120"/>
            </w:pPr>
            <w:r>
              <w:rPr>
                <w:rFonts w:ascii="Inter" w:hAnsi="Inter" w:cs="Inter"/>
                <w:b/>
                <w:caps/>
                <w:color w:val="FFFFFF"/>
                <w:sz w:val="18"/>
              </w:rPr>
              <w:t xml:space="preserve">Severity</w:t>
            </w:r>
          </w:p>
        </w:tc>
        <w:tc>
          <w:tcPr>
            <w:shd w:val="clear" w:color="auto" w:fill="1A1D1B"/>
          </w:tcPr>
          <w:p>
            <w:pPr>
              <w:spacing w:before="0" w:after="120"/>
            </w:pPr>
            <w:r>
              <w:rPr>
                <w:rFonts w:ascii="Inter" w:hAnsi="Inter" w:cs="Inter"/>
                <w:b/>
                <w:caps/>
                <w:color w:val="FFFFFF"/>
                <w:sz w:val="18"/>
              </w:rPr>
              <w:t xml:space="preserve">Finding</w:t>
            </w:r>
          </w:p>
        </w:tc>
        <w:tc>
          <w:tcPr>
            <w:shd w:val="clear" w:color="auto" w:fill="1A1D1B"/>
          </w:tcPr>
          <w:p>
            <w:pPr>
              <w:spacing w:before="0" w:after="120"/>
            </w:pPr>
            <w:r>
              <w:rPr>
                <w:rFonts w:ascii="Inter" w:hAnsi="Inter" w:cs="Inter"/>
                <w:b/>
                <w:caps/>
                <w:color w:val="FFFFFF"/>
                <w:sz w:val="18"/>
              </w:rPr>
              <w:t xml:space="preserve">Location</w:t>
            </w:r>
          </w:p>
        </w:tc>
        <w:tc>
          <w:tcPr>
            <w:shd w:val="clear" w:color="auto" w:fill="1A1D1B"/>
          </w:tcPr>
          <w:p>
            <w:pPr>
              <w:spacing w:before="0" w:after="120"/>
            </w:pPr>
            <w:r>
              <w:rPr>
                <w:rFonts w:ascii="Inter" w:hAnsi="Inter" w:cs="Inter"/>
                <w:b/>
                <w:caps/>
                <w:color w:val="FFFFFF"/>
                <w:sz w:val="18"/>
              </w:rPr>
              <w:t xml:space="preserve">Affects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1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DECEC"/>
                <w:color w:val="991B1B"/>
                <w:sz w:val="18"/>
              </w:rPr>
              <w:t xml:space="preserve"> CRITICAL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Circular calculations in the model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Workbook-level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occurrence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2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DECEC"/>
                <w:color w:val="991B1B"/>
                <w:sz w:val="18"/>
              </w:rPr>
              <w:t xml:space="preserve"> HIGH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Model links to an outside workbook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ExternalRef!A1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3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DECEC"/>
                <w:color w:val="991B1B"/>
                <w:sz w:val="18"/>
              </w:rPr>
              <w:t xml:space="preserve"> HIGH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Numeric assumption embedded in a formula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HighReach!A1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4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DECEC"/>
                <w:color w:val="991B1B"/>
                <w:sz w:val="18"/>
              </w:rPr>
              <w:t xml:space="preserve"> HIGH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Formula uses a volatile or unstable function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Volatile!A1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5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Calculations pass through several intermediate cells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1 pass-through chain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chain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6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Numeric assumption embedded in a formula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LowReach!A1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7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Results depend on custom macro code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VbaCell!A1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8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Formula uses a volatile or unstable function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Volatile!A2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9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Formula references an entire column or row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WholeCol!A1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10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FEF3E2"/>
                <w:color w:val="B45309"/>
                <w:sz w:val="18"/>
              </w:rPr>
              <w:t xml:space="preserve"> MEDIUM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External link not held as a named reference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Workbook-level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occurrence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11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E8F3E8"/>
                <w:color w:val="004800"/>
                <w:sz w:val="18"/>
              </w:rPr>
              <w:t xml:space="preserve"> LOW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Legacy array formula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ArrayFormula!A1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cell</w:t>
            </w:r>
          </w:p>
        </w:tc>
      </w:tr>
      <w:tr>
        <w:tc>
          <w:tcPr/>
          <w:p>
            <w:pPr>
              <w:spacing w:before="0" w:after="120"/>
              <w:jc w:val="right"/>
            </w:pPr>
            <w:r>
              <w:rPr>
                <w:rFonts w:ascii="Inter" w:hAnsi="Inter" w:cs="Inter"/>
                <w:color w:val="2D2D2D"/>
                <w:sz w:val="21"/>
              </w:rPr>
              <w:t xml:space="preserve">12</w:t>
            </w:r>
          </w:p>
        </w:tc>
        <w:tc>
          <w:tcPr/>
          <w:p>
            <w:pPr>
              <w:spacing w:before="0" w:after="120"/>
            </w:pPr>
            <w:r>
              <w:rPr>
                <w:rFonts w:ascii="Inter" w:hAnsi="Inter" w:cs="Inter"/>
                <w:b/>
                <w:shd w:val="clear" w:color="auto" w:fill="E8F3E8"/>
                <w:color w:val="004800"/>
                <w:sz w:val="18"/>
              </w:rPr>
              <w:t xml:space="preserve"> LOW 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No contents or navigation sheet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Workbook-level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1 occurrence</w:t>
            </w:r>
          </w:p>
        </w:tc>
      </w:tr>
    </w:tbl>
    <w:p>
      <w:pPr>
        <w:spacing w:before="960" w:after="180"/>
        <w:keepNext/>
        <w:pBdr>
          <w:bottom w:val="single" w:sz="6" w:space="4" w:color="E5E7EB"/>
        </w:pBdr>
      </w:pPr>
      <w:r>
        <w:rPr>
          <w:rFonts w:ascii="Inter" w:hAnsi="Inter" w:cs="Inter"/>
          <w:b/>
          <w:color w:val="1A1D1B"/>
          <w:sz w:val="22"/>
        </w:rPr>
        <w:t xml:space="preserve">3. Key Findings</w:t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1.  </w:t>
            </w:r>
            <w:r>
              <w:rPr>
                <w:rFonts w:ascii="Inter" w:hAnsi="Inter" w:cs="Inter"/>
                <w:b/>
                <w:color w:val="991B1B"/>
                <w:sz w:val="22"/>
              </w:rPr>
              <w:t xml:space="preserve">CRITICAL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Circular calculations in the model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Workbook-level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One or more cells depend on themselves through a loop of formulas.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Circular logic makes results depend on calculation settings rather than the model, and a changed setting can silently change every number that flows from the loop.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Break the loop by restructuring the calculation so no cell feeds back into itself.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2.  </w:t>
            </w:r>
            <w:r>
              <w:rPr>
                <w:rFonts w:ascii="Inter" w:hAnsi="Inter" w:cs="Inter"/>
                <w:b/>
                <w:color w:val="991B1B"/>
                <w:sz w:val="22"/>
              </w:rPr>
              <w:t xml:space="preserve">HIGH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Model links to an outside workbook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ExternalRef!A1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formula pulls a value from a separate workbook, so the model is not self-contained.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If the linked file moves, changes, or is unavailable, the numbers can shift or break without warning, and a reviewer cannot see the source.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Bring the referenced values into a dated, labelled input area of this workbook and remove the external link.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3.  </w:t>
            </w:r>
            <w:r>
              <w:rPr>
                <w:rFonts w:ascii="Inter" w:hAnsi="Inter" w:cs="Inter"/>
                <w:b/>
                <w:color w:val="991B1B"/>
                <w:sz w:val="22"/>
              </w:rPr>
              <w:t xml:space="preserve">HIGH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Numeric assumption embedded in a formula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HighReach!A1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formula contains a hardcoded number instead of referencing a labelled input.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An assumption buried inside a formula is easy to miss on an update and hard to audit, and the model gives no signal when it is stale.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Move the number to a labelled input cell and reference it from the formula.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4.  </w:t>
            </w:r>
            <w:r>
              <w:rPr>
                <w:rFonts w:ascii="Inter" w:hAnsi="Inter" w:cs="Inter"/>
                <w:b/>
                <w:color w:val="991B1B"/>
                <w:sz w:val="22"/>
              </w:rPr>
              <w:t xml:space="preserve">HIGH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Formula uses a volatile or unstable function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Volatile!A1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formula calls a function whose result depends on layout or the current time, or whose inputs cannot be traced.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These functions recalculate unpredictably or hide their inputs from review, so the number can change with no visible cause.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Replace the function with a stable equivalent that references fixed ranges or a dated input cell.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B45309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5.  </w:t>
            </w:r>
            <w:r>
              <w:rPr>
                <w:rFonts w:ascii="Inter" w:hAnsi="Inter" w:cs="Inter"/>
                <w:b/>
                <w:color w:val="B45309"/>
                <w:sz w:val="22"/>
              </w:rPr>
              <w:t xml:space="preserve">MEDIUM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Calculations pass through several intermediate cells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1 pass-through chain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value is copied from cell to cell through a chain of pass-through formulas before it is used.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Long copy chains make the model harder to follow and to audit, and an unintended change anywhere in the chain can affect downstream results and be harder to trace.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Review whether the intermediate links are necessary. Where they add no modelling purpose, simplify the chain by referencing the appropriate source more directly.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B45309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6.  </w:t>
            </w:r>
            <w:r>
              <w:rPr>
                <w:rFonts w:ascii="Inter" w:hAnsi="Inter" w:cs="Inter"/>
                <w:b/>
                <w:color w:val="B45309"/>
                <w:sz w:val="22"/>
              </w:rPr>
              <w:t xml:space="preserve">MEDIUM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Numeric assumption embedded in a formula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LowReach!A1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formula contains a hardcoded number instead of referencing a labelled input.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An assumption buried inside a formula is easy to miss on an update and hard to audit, and the model gives no signal when it is stale.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Move the number to a labelled input cell and reference it from the formula.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B45309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2"/>
              </w:rPr>
              <w:t xml:space="preserve">7.  </w:t>
            </w:r>
            <w:r>
              <w:rPr>
                <w:rFonts w:ascii="Inter" w:hAnsi="Inter" w:cs="Inter"/>
                <w:b/>
                <w:color w:val="B45309"/>
                <w:sz w:val="22"/>
              </w:rPr>
              <w:t xml:space="preserve">MEDIUM</w:t>
            </w:r>
            <w:r>
              <w:rPr>
                <w:rFonts w:ascii="Inter" w:hAnsi="Inter" w:cs="Inter"/>
                <w:b/>
                <w:color w:val="1A1D1B"/>
                <w:sz w:val="22"/>
              </w:rPr>
              <w:t xml:space="preserve">  —  Results depend on custom macro code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Location: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VbaCell!A1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Issue: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A formula relies on a user-defined function or macro rather than standard spreadsheet formulas.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Why it matters: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Results produced by custom code cannot be checked by inspecting the model, and the code can change behaviour without any visible change on the sheet.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6B7280"/>
                <w:sz w:val="21"/>
              </w:rPr>
              <w:t xml:space="preserve">Action: </w:t>
            </w:r>
            <w:r>
              <w:rPr>
                <w:rFonts w:ascii="Inter" w:hAnsi="Inter" w:cs="Inter"/>
                <w:color w:val="2D2D2D"/>
                <w:sz w:val="21"/>
              </w:rPr>
              <w:t xml:space="preserve">Replace the custom function with standard formulas so the calculation is visible and checkable.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p>
      <w:pPr>
        <w:spacing w:before="960" w:after="180"/>
        <w:keepNext/>
        <w:pBdr>
          <w:bottom w:val="single" w:sz="6" w:space="4" w:color="E5E7EB"/>
        </w:pBdr>
      </w:pPr>
      <w:r>
        <w:rPr>
          <w:rFonts w:ascii="Inter" w:hAnsi="Inter" w:cs="Inter"/>
          <w:b/>
          <w:color w:val="1A1D1B"/>
          <w:sz w:val="22"/>
        </w:rPr>
        <w:t xml:space="preserve">4. Report Information &amp; Scope</w:t>
      </w:r>
    </w:p>
    <w:tbl>
      <w:tblPr>
        <w:tblW w:w="9360" w:type="dxa"/>
        <w:tblLayout w:type="fixed"/>
        <w:tblBorders>
          <w:top w:val="single" w:sz="4" w:space="0" w:color="D1D5DB"/>
          <w:left w:val="nil"/>
          <w:bottom w:val="single" w:sz="4" w:space="0" w:color="D1D5DB"/>
          <w:right w:val="nil"/>
          <w:insideH w:val="single" w:sz="2" w:space="0" w:color="E5E7EB"/>
          <w:insideV w:val="nil"/>
        </w:tblBorders>
      </w:tblPr>
      <w:tblGrid>
        <w:gridCol w:w="2800"/>
        <w:gridCol w:w="6560"/>
      </w:tblGrid>
      <w:tr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aps/>
                <w:color w:val="6B7280"/>
                <w:sz w:val="18"/>
              </w:rPr>
              <w:t xml:space="preserve">Field</w:t>
            </w:r>
          </w:p>
        </w:tc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aps/>
                <w:color w:val="6B7280"/>
                <w:sz w:val="18"/>
              </w:rPr>
              <w:t xml:space="preserve">Value</w:t>
            </w:r>
          </w:p>
        </w:tc>
      </w:tr>
      <w:tr>
        <w:trPr>
          <w:cantSplit/>
        </w:trPr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Workbook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fast_violations.xlsx</w:t>
            </w:r>
          </w:p>
        </w:tc>
      </w:tr>
      <w:tr>
        <w:trPr>
          <w:cantSplit/>
        </w:trPr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Reference</w:t>
            </w:r>
          </w:p>
        </w:tc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fast-sample-report-0001</w:t>
            </w:r>
          </w:p>
        </w:tc>
      </w:tr>
      <w:tr>
        <w:trPr>
          <w:cantSplit/>
        </w:trPr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Product version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OXXON FAST 2.0.0</w:t>
            </w:r>
          </w:p>
        </w:tc>
      </w:tr>
      <w:tr>
        <w:trPr>
          <w:cantSplit/>
        </w:trPr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Reviewed</w:t>
            </w:r>
          </w:p>
        </w:tc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1 January 2026</w:t>
            </w:r>
          </w:p>
        </w:tc>
      </w:tr>
      <w:tr>
        <w:trPr>
          <w:cantSplit/>
        </w:trPr>
        <w:tc>
          <w:tcPr/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Checks performed</w:t>
            </w:r>
          </w:p>
        </w:tc>
        <w:tc>
          <w:tcPr/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729</w:t>
            </w:r>
          </w:p>
        </w:tc>
      </w:tr>
      <w:tr>
        <w:trPr>
          <w:cantSplit/>
        </w:trPr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Workbook fingerprint</w:t>
            </w:r>
          </w:p>
        </w:tc>
        <w:tc>
          <w:tcPr>
            <w:shd w:val="clear" w:color="auto" w:fill="F7F8F7"/>
          </w:tcPr>
          <w:p>
            <w:pPr>
              <w:spacing w:before="0" w:after="60"/>
            </w:pPr>
            <w:r>
              <w:rPr>
                <w:rFonts w:ascii="IBM Plex Mono" w:hAnsi="IBM Plex Mono" w:cs="IBM Plex Mono"/>
                <w:color w:val="2D2D2D"/>
                <w:sz w:val="21"/>
              </w:rPr>
              <w:t xml:space="preserve">fast-vio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D1D5DB"/>
              <w:bottom w:val="single" w:sz="4" w:space="0" w:color="D1D5DB"/>
              <w:right w:val="single" w:sz="4" w:space="0" w:color="D1D5DB"/>
            </w:tcBorders>
            <w:shd w:val="clear" w:color="auto" w:fill="F7F8F7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aps/>
                <w:color w:val="6B7280"/>
                <w:sz w:val="18"/>
              </w:rPr>
              <w:t xml:space="preserve">SCOPE   </w:t>
            </w:r>
            <w:r>
              <w:rPr>
                <w:rFonts w:ascii="Inter" w:hAnsi="Inter" w:cs="Inter"/>
                <w:color w:val="6B7280"/>
                <w:sz w:val="18"/>
              </w:rPr>
              <w:t xml:space="preserve">FAST assesses modelling practice and presentation. It does not establish that the workbook's calculations are correct. Some aspects requiring human judgement are outside this automated review.</w:t>
            </w:r>
          </w:p>
        </w:tc>
      </w:tr>
    </w:tbl>
    <w:p>
      <w:pPr>
        <w:spacing w:before="960" w:after="180"/>
        <w:keepNext/>
        <w:pBdr>
          <w:bottom w:val="single" w:sz="6" w:space="4" w:color="E5E7EB"/>
        </w:pBdr>
      </w:pPr>
      <w:r>
        <w:rPr>
          <w:rFonts w:ascii="Inter" w:hAnsi="Inter" w:cs="Inter"/>
          <w:b/>
          <w:color w:val="1A1D1B"/>
          <w:sz w:val="22"/>
        </w:rPr>
        <w:t xml:space="preserve">5. Conclusion</w:t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60"/>
            </w:pPr>
            <w:r>
              <w:rPr>
                <w:rFonts w:ascii="Inter" w:hAnsi="Inter" w:cs="Inter"/>
                <w:b/>
                <w:color w:val="1A1D1B"/>
                <w:sz w:val="24"/>
              </w:rPr>
              <w:t xml:space="preserve">The workbook requires review before wider reliance or distribution.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The FAST assessment identified 1 Critical and 3 High modelling-practice issues, together with 6 Medium and 2 Low issues. 3 checks could not be conclusively assessed and require reviewer assessment.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The most significant findings should be resolved or explicitly confirmed before the workbook is relied upon for decision-making.</w:t>
            </w:r>
          </w:p>
          <w:p>
            <w:pPr>
              <w:spacing w:before="0" w:after="60"/>
            </w:pPr>
            <w:r>
              <w:rPr>
                <w:rFonts w:ascii="Inter" w:hAnsi="Inter" w:cs="Inter"/>
                <w:color w:val="2D2D2D"/>
                <w:sz w:val="21"/>
              </w:rPr>
              <w:t xml:space="preserve">Priority should be given to the Critical and High findings. Once the required corrections and confirmations have been completed, FAST should be re-run to confirm that the identified issues have been addressed and to establish the workbook's updated review status.</w:t>
            </w:r>
          </w:p>
        </w:tc>
      </w:tr>
    </w:tbl>
    <w:p>
      <w:pPr>
        <w:spacing w:before="0" w:after="60"/>
      </w:pPr>
      <w:r>
        <w:rPr>
          <w:rFonts w:ascii="Inter" w:hAnsi="Inter" w:cs="Inter"/>
          <w:color w:val="2D2D2D"/>
          <w:sz w:val="18"/>
        </w:rPr>
        <w:t xml:space="preserve"/>
      </w:r>
    </w:p>
    <w:tbl>
      <w:tblPr>
        <w:tblW w:w="9360" w:type="dxa"/>
        <w:tblLayout w:type="fixed"/>
      </w:tblPr>
      <w:tblGrid>
        <w:gridCol w:w="9360"/>
      </w:tblGrid>
      <w:tr>
        <w:trPr>
          <w:cantSplit/>
        </w:trPr>
        <w:tc>
          <w:tcPr>
            <w:tcW w:w="9360" w:type="dxa"/>
            <w:tcBorders>
              <w:top w:val="single" w:sz="4" w:space="0" w:color="D1D5DB"/>
              <w:left w:val="single" w:sz="24" w:space="0" w:color="991B1B"/>
              <w:bottom w:val="single" w:sz="4" w:space="0" w:color="D1D5DB"/>
              <w:right w:val="single" w:sz="4" w:space="0" w:color="D1D5DB"/>
            </w:tcBorders>
            <w:shd w:val="clear" w:color="auto" w:fill="F7F8F7"/>
            <w:tcMar>
              <w:top w:w="60" w:type="dxa"/>
              <w:left w:w="150" w:type="dxa"/>
              <w:bottom w:w="60" w:type="dxa"/>
              <w:right w:w="150" w:type="dxa"/>
            </w:tcMar>
          </w:tcPr>
          <w:p>
            <w:pPr>
              <w:spacing w:before="0" w:after="0"/>
            </w:pPr>
            <w:r>
              <w:rPr>
                <w:rFonts w:ascii="Inter" w:hAnsi="Inter" w:cs="Inter"/>
                <w:b/>
                <w:color w:val="1A1D1B"/>
                <w:sz w:val="21"/>
              </w:rPr>
              <w:t xml:space="preserve">Recommended model status: </w:t>
            </w:r>
            <w:r>
              <w:rPr>
                <w:rFonts w:ascii="Inter" w:hAnsi="Inter" w:cs="Inter"/>
                <w:b/>
                <w:color w:val="1A1D1B"/>
                <w:sz w:val="21"/>
              </w:rPr>
              <w:t xml:space="preserve">REVIEW REQUIRED</w:t>
            </w:r>
          </w:p>
        </w:tc>
      </w:tr>
    </w:tbl>
    <w:p>
      <w:pPr>
        <w:spacing w:before="240" w:after="60"/>
        <w:pBdr>
          <w:bottom w:val="single" w:sz="6" w:space="4" w:color="E5E7EB"/>
        </w:pBdr>
      </w:pPr>
      <w:r>
        <w:rPr>
          <w:rFonts w:ascii="Inter" w:hAnsi="Inter" w:cs="Inter"/>
          <w:color w:val="2D2D2D"/>
          <w:sz w:val="18"/>
        </w:rPr>
        <w:t xml:space="preserve"/>
      </w:r>
    </w:p>
    <w:p>
      <w:pPr>
        <w:spacing w:before="0" w:after="0"/>
      </w:pPr>
      <w:r>
        <w:rPr>
          <w:rFonts w:ascii="IBM Plex Mono" w:hAnsi="IBM Plex Mono" w:cs="IBM Plex Mono"/>
          <w:color w:val="6B7280"/>
          <w:sz w:val="18"/>
        </w:rPr>
        <w:t xml:space="preserve">OXXON FAST™ · Executive Report · fast_violations.xlsx · fast-sample-report-0001 · CONFIDENTIAL</w:t>
      </w:r>
    </w:p>
    <w:sectPr>
      <w:pgSz w:w="12240" w:h="15840"/>
      <w:pgMar w:top="1440" w:right="1440" w:bottom="1440" w:left="1440" w:header="720" w:footer="720" w:gutter="0"/>
    </w:sectPr>
  </w:body>
</w:document>
</file>