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60"/>
      </w:pPr>
      <w:r>
        <w:rPr>
          <w:rFonts w:ascii="Inter" w:hAnsi="Inter" w:cs="Inter"/>
          <w:b/>
          <w:color w:val="004800"/>
          <w:sz w:val="58"/>
        </w:rPr>
        <w:t xml:space="preserve">OXXON VERIFY</w:t>
      </w:r>
    </w:p>
    <w:p>
      <w:pPr>
        <w:spacing w:before="0" w:after="0"/>
      </w:pPr>
      <w:r>
        <w:rPr>
          <w:rFonts w:ascii="Inter" w:hAnsi="Inter" w:cs="Inter"/>
          <w:b/>
          <w:caps/>
          <w:color w:val="1A1D1B"/>
          <w:sz w:val="24"/>
        </w:rPr>
        <w:t xml:space="preserve">· Executive Report</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60"/>
      </w:pPr>
      <w:r>
        <w:rPr>
          <w:rFonts w:ascii="Inter" w:hAnsi="Inter" w:cs="Inter"/>
          <w:b/>
          <w:color w:val="6B7280"/>
          <w:sz w:val="21"/>
        </w:rPr>
        <w:t xml:space="preserve">Reference: </w:t>
      </w:r>
      <w:r>
        <w:rPr>
          <w:rFonts w:ascii="IBM Plex Mono" w:hAnsi="IBM Plex Mono" w:cs="IBM Plex Mono"/>
          <w:color w:val="2D2D2D"/>
          <w:sz w:val="21"/>
        </w:rPr>
        <w:t xml:space="preserve">5-Tier Equity Waterfall with MOIC and IRR Hurdles.xlsx</w:t>
      </w:r>
    </w:p>
    <w:p>
      <w:pPr>
        <w:spacing w:before="0" w:after="60"/>
      </w:pPr>
      <w:r>
        <w:rPr>
          <w:rFonts w:ascii="Inter" w:hAnsi="Inter" w:cs="Inter"/>
          <w:b/>
          <w:color w:val="6B7280"/>
          <w:sz w:val="21"/>
        </w:rPr>
        <w:t xml:space="preserve">Candidate: </w:t>
      </w:r>
      <w:r>
        <w:rPr>
          <w:rFonts w:ascii="IBM Plex Mono" w:hAnsi="IBM Plex Mono" w:cs="IBM Plex Mono"/>
          <w:color w:val="2D2D2D"/>
          <w:sz w:val="21"/>
        </w:rPr>
        <w:t xml:space="preserve">5-Tier TEST Equity Waterfall with MOIC and IRR Hurdles.xlsx</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BM Plex Mono" w:hAnsi="IBM Plex Mono" w:cs="IBM Plex Mono"/>
          <w:color w:val="6B7280"/>
          <w:sz w:val="18"/>
        </w:rPr>
        <w:t xml:space="preserve">1CF82B6B006814E8    ·    Compared 3 August 2026    ·    CONFIDENTIAL</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120"/>
        <w:pBdr>
          <w:bottom w:val="single" w:sz="6" w:space="4" w:color="E5E7EB"/>
        </w:pBdr>
      </w:pPr>
      <w:r>
        <w:rPr>
          <w:rFonts w:ascii="Inter" w:hAnsi="Inter" w:cs="Inter"/>
          <w:color w:val="2D2D2D"/>
          <w:sz w:val="18"/>
        </w:rPr>
        <w:t xml:space="preserve"/>
      </w:r>
    </w:p>
    <w:p>
      <w:pPr>
        <w:spacing w:before="0" w:after="0"/>
      </w:pPr>
      <w:r>
        <w:rPr>
          <w:rFonts w:ascii="Inter" w:hAnsi="Inter" w:cs="Inter"/>
          <w:color w:val="6B7280"/>
          <w:sz w:val="21"/>
        </w:rPr>
        <w:t xml:space="preserve">Issued by </w:t>
      </w:r>
      <w:r>
        <w:rPr>
          <w:rFonts w:ascii="Inter" w:hAnsi="Inter" w:cs="Inter"/>
          <w:b/>
          <w:color w:val="1A1D1B"/>
          <w:sz w:val="21"/>
        </w:rPr>
        <w:t xml:space="preserve">Oxxon Advisors</w:t>
      </w:r>
    </w:p>
    <w:p>
      <w:r>
        <w:br w:type="page"/>
      </w:r>
    </w:p>
    <w:p>
      <w:pPr>
        <w:spacing w:before="960" w:after="180"/>
        <w:keepNext/>
        <w:pBdr>
          <w:bottom w:val="single" w:sz="6" w:space="4" w:color="E5E7EB"/>
        </w:pBdr>
      </w:pPr>
      <w:r>
        <w:rPr>
          <w:rFonts w:ascii="Inter" w:hAnsi="Inter" w:cs="Inter"/>
          <w:b/>
          <w:color w:val="1A1D1B"/>
          <w:sz w:val="22"/>
        </w:rPr>
        <w:t xml:space="preserve">1. Result</w:t>
      </w:r>
    </w:p>
    <w:p>
      <w:pPr>
        <w:spacing w:before="0" w:after="60"/>
      </w:pPr>
      <w:r>
        <w:rPr>
          <w:rFonts w:ascii="Inter" w:hAnsi="Inter" w:cs="Inter"/>
          <w:color w:val="2D2D2D"/>
          <w:sz w:val="21"/>
        </w:rPr>
        <w:t xml:space="preserve">1,363 changes were identified between the Reference and the Candidate. 14,858 compared items were unchanged.</w:t>
      </w:r>
    </w:p>
    <w:p>
      <w:pPr>
        <w:spacing w:before="0" w:after="120"/>
      </w:pPr>
      <w:r>
        <w:rPr>
          <w:rFonts w:ascii="Inter" w:hAnsi="Inter" w:cs="Inter"/>
          <w:b/>
          <w:color w:val="1A1D1B"/>
          <w:sz w:val="24"/>
        </w:rPr>
        <w:t xml:space="preserve">2,782 affected items require review or re-verification.</w:t>
      </w:r>
    </w:p>
    <w:p>
      <w:pPr>
        <w:pBdr>
          <w:top w:val="single" w:sz="6" w:space="6" w:color="991B1B"/>
          <w:left w:val="single" w:sz="6" w:space="6" w:color="991B1B"/>
          <w:bottom w:val="single" w:sz="6" w:space="6" w:color="991B1B"/>
          <w:right w:val="single" w:sz="6" w:space="6" w:color="991B1B"/>
        </w:pBdr>
        <w:shd w:val="clear" w:color="auto" w:fill="FDECEC"/>
        <w:spacing w:before="120" w:after="120"/>
        <w:ind w:left="120" w:right="120"/>
      </w:pPr>
      <w:r>
        <w:rPr>
          <w:rFonts w:ascii="Inter" w:hAnsi="Inter" w:cs="Inter"/>
          <w:b/>
          <w:color w:val="1A1D1B"/>
          <w:sz w:val="24"/>
        </w:rPr>
        <w:t xml:space="preserve">CALCULATION CHANGES IDENTIFIED.</w:t>
      </w:r>
      <w:r>
        <w:rPr>
          <w:rFonts w:ascii="Inter" w:hAnsi="Inter" w:cs="Inter"/>
          <w:color w:val="2D2D2D"/>
          <w:sz w:val="24"/>
        </w:rPr>
        <w:t xml:space="preserve"> 1,363 changes between the Reference and the Candidate.</w:t>
      </w:r>
    </w:p>
    <w:p>
      <w:pPr>
        <w:spacing w:before="0" w:after="60"/>
      </w:pPr>
      <w:r>
        <w:rPr>
          <w:rFonts w:ascii="Inter" w:hAnsi="Inter" w:cs="Inter"/>
          <w:color w:val="2D2D2D"/>
          <w:sz w:val="18"/>
        </w:rPr>
        <w:t xml:space="preserve"/>
      </w:r>
    </w:p>
    <w:p>
      <w:pPr>
        <w:spacing w:before="0" w:after="120"/>
      </w:pPr>
      <w:r>
        <w:rPr>
          <w:rFonts w:ascii="Inter" w:hAnsi="Inter" w:cs="Inter"/>
          <w:color w:val="2D2D2D"/>
          <w:sz w:val="21"/>
        </w:rPr>
        <w:t xml:space="preserve">The calculations changed. Formulas, values or the inputs they draw on differ between the Reference and the Candidate, so results the Reference produced cannot be assumed to hold in the Candidate.</w:t>
      </w:r>
    </w:p>
    <w:p>
      <w:pPr>
        <w:spacing w:before="960" w:after="180"/>
        <w:keepNext/>
        <w:pBdr>
          <w:bottom w:val="single" w:sz="6" w:space="4" w:color="E5E7EB"/>
        </w:pBdr>
      </w:pPr>
      <w:r>
        <w:rPr>
          <w:rFonts w:ascii="Inter" w:hAnsi="Inter" w:cs="Inter"/>
          <w:b/>
          <w:color w:val="1A1D1B"/>
          <w:sz w:val="22"/>
        </w:rPr>
        <w:t xml:space="preserve">2. Change Summary</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340"/>
        <w:gridCol w:w="2340"/>
        <w:gridCol w:w="2340"/>
        <w:gridCol w:w="2340"/>
      </w:tblGrid>
      <w:tr>
        <w:tc>
          <w:tcPr>
            <w:shd w:val="clear" w:color="auto" w:fill="FDECEC"/>
          </w:tcPr>
          <w:p>
            <w:pPr>
              <w:spacing w:before="0" w:after="120"/>
              <w:jc w:val="center"/>
            </w:pPr>
            <w:r>
              <w:rPr>
                <w:rFonts w:ascii="Inter" w:hAnsi="Inter" w:cs="Inter"/>
                <w:b/>
                <w:color w:val="991B1B"/>
                <w:sz w:val="22"/>
              </w:rPr>
              <w:t xml:space="preserve">CHANGED</w:t>
            </w:r>
          </w:p>
        </w:tc>
        <w:tc>
          <w:tcPr>
            <w:shd w:val="clear" w:color="auto" w:fill="FEF3E2"/>
          </w:tcPr>
          <w:p>
            <w:pPr>
              <w:spacing w:before="0" w:after="120"/>
              <w:jc w:val="center"/>
            </w:pPr>
            <w:r>
              <w:rPr>
                <w:rFonts w:ascii="Inter" w:hAnsi="Inter" w:cs="Inter"/>
                <w:b/>
                <w:color w:val="B45309"/>
                <w:sz w:val="22"/>
              </w:rPr>
              <w:t xml:space="preserve">ADDED</w:t>
            </w:r>
          </w:p>
        </w:tc>
        <w:tc>
          <w:tcPr>
            <w:shd w:val="clear" w:color="auto" w:fill="FEF3E2"/>
          </w:tcPr>
          <w:p>
            <w:pPr>
              <w:spacing w:before="0" w:after="120"/>
              <w:jc w:val="center"/>
            </w:pPr>
            <w:r>
              <w:rPr>
                <w:rFonts w:ascii="Inter" w:hAnsi="Inter" w:cs="Inter"/>
                <w:b/>
                <w:color w:val="B45309"/>
                <w:sz w:val="22"/>
              </w:rPr>
              <w:t xml:space="preserve">REMOVED</w:t>
            </w:r>
          </w:p>
        </w:tc>
        <w:tc>
          <w:tcPr>
            <w:shd w:val="clear" w:color="auto" w:fill="FDECEC"/>
          </w:tcPr>
          <w:p>
            <w:pPr>
              <w:spacing w:before="0" w:after="120"/>
              <w:jc w:val="center"/>
            </w:pPr>
            <w:r>
              <w:rPr>
                <w:rFonts w:ascii="Inter" w:hAnsi="Inter" w:cs="Inter"/>
                <w:b/>
                <w:color w:val="991B1B"/>
                <w:sz w:val="22"/>
              </w:rPr>
              <w:t xml:space="preserve">UNMATCHED</w:t>
            </w:r>
          </w:p>
        </w:tc>
      </w:tr>
      <w:tr>
        <w:tc>
          <w:tcPr/>
          <w:p>
            <w:pPr>
              <w:spacing w:before="0" w:after="120"/>
              <w:jc w:val="center"/>
            </w:pPr>
            <w:r>
              <w:rPr>
                <w:rFonts w:ascii="Inter" w:hAnsi="Inter" w:cs="Inter"/>
                <w:b/>
                <w:color w:val="1A1D1B"/>
                <w:sz w:val="24"/>
              </w:rPr>
              <w:t xml:space="preserve">401</w:t>
            </w:r>
          </w:p>
        </w:tc>
        <w:tc>
          <w:tcPr/>
          <w:p>
            <w:pPr>
              <w:spacing w:before="0" w:after="120"/>
              <w:jc w:val="center"/>
            </w:pPr>
            <w:r>
              <w:rPr>
                <w:rFonts w:ascii="Inter" w:hAnsi="Inter" w:cs="Inter"/>
                <w:b/>
                <w:color w:val="1A1D1B"/>
                <w:sz w:val="24"/>
              </w:rPr>
              <w:t xml:space="preserve">481</w:t>
            </w:r>
          </w:p>
        </w:tc>
        <w:tc>
          <w:tcPr/>
          <w:p>
            <w:pPr>
              <w:spacing w:before="0" w:after="120"/>
              <w:jc w:val="center"/>
            </w:pPr>
            <w:r>
              <w:rPr>
                <w:rFonts w:ascii="Inter" w:hAnsi="Inter" w:cs="Inter"/>
                <w:b/>
                <w:color w:val="1A1D1B"/>
                <w:sz w:val="24"/>
              </w:rPr>
              <w:t xml:space="preserve">481</w:t>
            </w:r>
          </w:p>
        </w:tc>
        <w:tc>
          <w:tcPr/>
          <w:p>
            <w:pPr>
              <w:spacing w:before="0" w:after="120"/>
              <w:jc w:val="center"/>
            </w:pPr>
            <w:r>
              <w:rPr>
                <w:rFonts w:ascii="Inter" w:hAnsi="Inter" w:cs="Inter"/>
                <w:b/>
                <w:color w:val="1A1D1B"/>
                <w:sz w:val="24"/>
              </w:rPr>
              <w:t xml:space="preserve">0</w:t>
            </w:r>
          </w:p>
        </w:tc>
      </w:tr>
    </w:tbl>
    <w:p>
      <w:pPr>
        <w:spacing w:before="960" w:after="180"/>
        <w:keepNext/>
        <w:pBdr>
          <w:bottom w:val="single" w:sz="6" w:space="4" w:color="E5E7EB"/>
        </w:pBdr>
      </w:pPr>
      <w:r>
        <w:rPr>
          <w:rFonts w:ascii="Inter" w:hAnsi="Inter" w:cs="Inter"/>
          <w:b/>
          <w:color w:val="1A1D1B"/>
          <w:sz w:val="22"/>
        </w:rPr>
        <w:t xml:space="preserve">3. Key Changes</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=IF($C$11=$C$110,SUM($D$37:$BL$37)*$C$12,AA$35*((1+$C$12)^((AA$26-Z$26)/365)-1))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=IF($C$11=$C$110,SUM($D$48:$BL$48)*$C$13,AA$46*((1+$C$13)^((AA$26-Z$26)/365)-1))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Waterfall!AA60</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=IF($C$11=$C$110,SUM($D$61:$BL$61)*$C$14,AA$59*((1+$C$14)^((AA$26-Z$26)/365)-1))    (cached result 59361562.4)</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Waterfall!AA73</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=IF($C$11=$C$110,SUM($D$74:$BL$74)*$C$15,AA$72*((1+$C$15)^((AA$26-Z$26)/365)-1))    (cached result 67841785.60000001)</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Waterfall!AB36</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=IF($C$11=$C$110,SUM($D$37:$BL$37)*$C$12,AB$35*((1+$C$12)^((AB$26-AA$26)/365)-1))    (cached result 42401116)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2"/>
              </w:rPr>
              <w:t xml:space="preserve">DEPENDENCY CHANGED — Cell now depends on different inputs</w:t>
            </w:r>
          </w:p>
          <w:p>
            <w:pPr>
              <w:spacing w:before="0" w:after="60"/>
            </w:pPr>
            <w:r>
              <w:rPr>
                <w:rFonts w:ascii="Inter" w:hAnsi="Inter" w:cs="Inter"/>
                <w:b/>
                <w:color w:val="6B7280"/>
                <w:sz w:val="21"/>
              </w:rPr>
              <w:t xml:space="preserve">Location: </w:t>
            </w:r>
            <w:r>
              <w:rPr>
                <w:rFonts w:ascii="IBM Plex Mono" w:hAnsi="IBM Plex Mono" w:cs="IBM Plex Mono"/>
                <w:color w:val="2D2D2D"/>
                <w:sz w:val="21"/>
              </w:rPr>
              <w:t xml:space="preserve">Waterfall!AB47</w:t>
            </w:r>
          </w:p>
          <w:p>
            <w:pPr>
              <w:spacing w:before="0" w:after="60"/>
            </w:pPr>
            <w:r>
              <w:rPr>
                <w:rFonts w:ascii="Inter" w:hAnsi="Inter" w:cs="Inter"/>
                <w:b/>
                <w:color w:val="6B7280"/>
                <w:sz w:val="21"/>
              </w:rPr>
              <w:t xml:space="preserve">State (identical in both versions): </w:t>
            </w:r>
            <w:r>
              <w:rPr>
                <w:rFonts w:ascii="IBM Plex Mono" w:hAnsi="IBM Plex Mono" w:cs="IBM Plex Mono"/>
                <w:color w:val="2D2D2D"/>
                <w:sz w:val="21"/>
              </w:rPr>
              <w:t xml:space="preserve">=IF($C$11=$C$110,SUM($D$48:$BL$48)*$C$13,AB$46*((1+$C$13)^((AB$26-AA$26)/365)-1))    (cached result 50881339.199999996)</w:t>
            </w:r>
          </w:p>
          <w:p>
            <w:pPr>
              <w:spacing w:before="0" w:after="60"/>
            </w:pPr>
            <w:r>
              <w:rPr>
                <w:rFonts w:ascii="Inter" w:hAnsi="Inter" w:cs="Inter"/>
                <w:b/>
                <w:color w:val="6B7280"/>
                <w:sz w:val="21"/>
              </w:rPr>
              <w:t xml:space="preserve">What changed: </w:t>
            </w:r>
            <w:r>
              <w:rPr>
                <w:rFonts w:ascii="Inter" w:hAnsi="Inter" w:cs="Inter"/>
                <w:color w:val="2D2D2D"/>
                <w:sz w:val="21"/>
              </w:rPr>
              <w:t xml:space="preserve">This location now draws on a different set of inputs than it did in the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 calculation may be unchanged in wording while sourcing different data, which changes what the figure represents.</w:t>
            </w:r>
          </w:p>
          <w:p>
            <w:pPr>
              <w:spacing w:before="0" w:after="60"/>
            </w:pPr>
            <w:r>
              <w:rPr>
                <w:rFonts w:ascii="Inter" w:hAnsi="Inter" w:cs="Inter"/>
                <w:b/>
                <w:color w:val="6B7280"/>
                <w:sz w:val="21"/>
              </w:rPr>
              <w:t xml:space="preserve">Action: </w:t>
            </w:r>
            <w:r>
              <w:rPr>
                <w:rFonts w:ascii="Inter" w:hAnsi="Inter" w:cs="Inter"/>
                <w:color w:val="2D2D2D"/>
                <w:sz w:val="21"/>
              </w:rPr>
              <w:t xml:space="preserve">Trace the revised inputs and confirm the calculation still draws on the intended source.</w:t>
            </w:r>
          </w:p>
        </w:tc>
      </w:tr>
    </w:tbl>
    <w:p>
      <w:pPr>
        <w:spacing w:before="0" w:after="60"/>
      </w:pPr>
      <w:r>
        <w:rPr>
          <w:rFonts w:ascii="Inter" w:hAnsi="Inter" w:cs="Inter"/>
          <w:color w:val="2D2D2D"/>
          <w:sz w:val="18"/>
        </w:rPr>
        <w:t xml:space="preserve"/>
      </w:r>
    </w:p>
    <w:p>
      <w:pPr>
        <w:spacing w:before="0" w:after="120"/>
      </w:pPr>
      <w:r>
        <w:rPr>
          <w:rFonts w:ascii="Inter" w:hAnsi="Inter" w:cs="Inter"/>
          <w:color w:val="6B7280"/>
          <w:sz w:val="21"/>
        </w:rPr>
        <w:t xml:space="preserve">1,355 further change(s) are detailed in the Technical Report.</w:t>
      </w:r>
    </w:p>
    <w:p>
      <w:pPr>
        <w:spacing w:before="960" w:after="180"/>
        <w:keepNext/>
        <w:pBdr>
          <w:bottom w:val="single" w:sz="6" w:space="4" w:color="E5E7EB"/>
        </w:pBdr>
      </w:pPr>
      <w:r>
        <w:rPr>
          <w:rFonts w:ascii="Inter" w:hAnsi="Inter" w:cs="Inter"/>
          <w:b/>
          <w:color w:val="1A1D1B"/>
          <w:sz w:val="22"/>
        </w:rPr>
        <w:t xml:space="preserve">4. Report Information &amp; Scope</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800"/>
        <w:gridCol w:w="6560"/>
      </w:tblGrid>
      <w:tr>
        <w:tc>
          <w:tcPr>
            <w:shd w:val="clear" w:color="auto" w:fill="F7F8F7"/>
          </w:tcPr>
          <w:p>
            <w:pPr>
              <w:spacing w:before="0" w:after="60"/>
            </w:pPr>
            <w:r>
              <w:rPr>
                <w:rFonts w:ascii="Inter" w:hAnsi="Inter" w:cs="Inter"/>
                <w:b/>
                <w:caps/>
                <w:color w:val="6B7280"/>
                <w:sz w:val="18"/>
              </w:rPr>
              <w:t xml:space="preserve">Field</w:t>
            </w:r>
          </w:p>
        </w:tc>
        <w:tc>
          <w:tcPr>
            <w:shd w:val="clear" w:color="auto" w:fill="F7F8F7"/>
          </w:tcPr>
          <w:p>
            <w:pPr>
              <w:spacing w:before="0" w:after="60"/>
            </w:pPr>
            <w:r>
              <w:rPr>
                <w:rFonts w:ascii="Inter" w:hAnsi="Inter" w:cs="Inter"/>
                <w:b/>
                <w:caps/>
                <w:color w:val="6B7280"/>
                <w:sz w:val="18"/>
              </w:rPr>
              <w:t xml:space="preserve">Value</w:t>
            </w:r>
          </w:p>
        </w:tc>
      </w:tr>
      <w:tr>
        <w:trPr>
          <w:cantSplit/>
        </w:trPr>
        <w:tc>
          <w:tcPr/>
          <w:p>
            <w:pPr>
              <w:spacing w:before="0" w:after="60"/>
            </w:pPr>
            <w:r>
              <w:rPr>
                <w:rFonts w:ascii="Inter" w:hAnsi="Inter" w:cs="Inter"/>
                <w:color w:val="2D2D2D"/>
                <w:sz w:val="21"/>
              </w:rPr>
              <w:t xml:space="preserve">Reference workbook</w:t>
            </w:r>
          </w:p>
        </w:tc>
        <w:tc>
          <w:tcPr/>
          <w:p>
            <w:pPr>
              <w:spacing w:before="0" w:after="60"/>
            </w:pPr>
            <w:r>
              <w:rPr>
                <w:rFonts w:ascii="IBM Plex Mono" w:hAnsi="IBM Plex Mono" w:cs="IBM Plex Mono"/>
                <w:color w:val="2D2D2D"/>
                <w:sz w:val="21"/>
              </w:rPr>
              <w:t xml:space="preserve">5-Tier Equity Waterfall with MOIC and IRR Hurdles.xlsx</w:t>
            </w:r>
          </w:p>
        </w:tc>
      </w:tr>
      <w:tr>
        <w:trPr>
          <w:cantSplit/>
        </w:trPr>
        <w:tc>
          <w:tcPr>
            <w:shd w:val="clear" w:color="auto" w:fill="F7F8F7"/>
          </w:tcPr>
          <w:p>
            <w:pPr>
              <w:spacing w:before="0" w:after="60"/>
            </w:pPr>
            <w:r>
              <w:rPr>
                <w:rFonts w:ascii="Inter" w:hAnsi="Inter" w:cs="Inter"/>
                <w:color w:val="2D2D2D"/>
                <w:sz w:val="21"/>
              </w:rPr>
              <w:t xml:space="preserve">Candidate workbook</w:t>
            </w:r>
          </w:p>
        </w:tc>
        <w:tc>
          <w:tcPr>
            <w:shd w:val="clear" w:color="auto" w:fill="F7F8F7"/>
          </w:tcPr>
          <w:p>
            <w:pPr>
              <w:spacing w:before="0" w:after="60"/>
            </w:pPr>
            <w:r>
              <w:rPr>
                <w:rFonts w:ascii="IBM Plex Mono" w:hAnsi="IBM Plex Mono" w:cs="IBM Plex Mono"/>
                <w:color w:val="2D2D2D"/>
                <w:sz w:val="21"/>
              </w:rPr>
              <w:t xml:space="preserve">5-Tier TEST Equity Waterfall with MOIC and IRR Hurdles.xlsx</w:t>
            </w:r>
          </w:p>
        </w:tc>
      </w:tr>
      <w:tr>
        <w:trPr>
          <w:cantSplit/>
        </w:trPr>
        <w:tc>
          <w:tcPr/>
          <w:p>
            <w:pPr>
              <w:spacing w:before="0" w:after="60"/>
            </w:pPr>
            <w:r>
              <w:rPr>
                <w:rFonts w:ascii="Inter" w:hAnsi="Inter" w:cs="Inter"/>
                <w:color w:val="2D2D2D"/>
                <w:sz w:val="21"/>
              </w:rPr>
              <w:t xml:space="preserve">Comparison result</w:t>
            </w:r>
          </w:p>
        </w:tc>
        <w:tc>
          <w:tcPr/>
          <w:p>
            <w:pPr>
              <w:spacing w:before="0" w:after="60"/>
            </w:pPr>
            <w:r>
              <w:rPr>
                <w:rFonts w:ascii="IBM Plex Mono" w:hAnsi="IBM Plex Mono" w:cs="IBM Plex Mono"/>
                <w:color w:val="2D2D2D"/>
                <w:sz w:val="21"/>
              </w:rPr>
              <w:t xml:space="preserve">CALCULATION CHANGES IDENTIFIED</w:t>
            </w:r>
          </w:p>
        </w:tc>
      </w:tr>
      <w:tr>
        <w:trPr>
          <w:cantSplit/>
        </w:trPr>
        <w:tc>
          <w:tcPr>
            <w:shd w:val="clear" w:color="auto" w:fill="F7F8F7"/>
          </w:tcPr>
          <w:p>
            <w:pPr>
              <w:spacing w:before="0" w:after="60"/>
            </w:pPr>
            <w:r>
              <w:rPr>
                <w:rFonts w:ascii="Inter" w:hAnsi="Inter" w:cs="Inter"/>
                <w:color w:val="2D2D2D"/>
                <w:sz w:val="21"/>
              </w:rPr>
              <w:t xml:space="preserve">Compared</w:t>
            </w:r>
          </w:p>
        </w:tc>
        <w:tc>
          <w:tcPr>
            <w:shd w:val="clear" w:color="auto" w:fill="F7F8F7"/>
          </w:tcPr>
          <w:p>
            <w:pPr>
              <w:spacing w:before="0" w:after="60"/>
            </w:pPr>
            <w:r>
              <w:rPr>
                <w:rFonts w:ascii="IBM Plex Mono" w:hAnsi="IBM Plex Mono" w:cs="IBM Plex Mono"/>
                <w:color w:val="2D2D2D"/>
                <w:sz w:val="21"/>
              </w:rPr>
              <w:t xml:space="preserve">3 August 2026</w:t>
            </w:r>
          </w:p>
        </w:tc>
      </w:tr>
      <w:tr>
        <w:trPr>
          <w:cantSplit/>
        </w:trPr>
        <w:tc>
          <w:tcPr/>
          <w:p>
            <w:pPr>
              <w:spacing w:before="0" w:after="60"/>
            </w:pPr>
            <w:r>
              <w:rPr>
                <w:rFonts w:ascii="Inter" w:hAnsi="Inter" w:cs="Inter"/>
                <w:color w:val="2D2D2D"/>
                <w:sz w:val="21"/>
              </w:rPr>
              <w:t xml:space="preserve">Product version</w:t>
            </w:r>
          </w:p>
        </w:tc>
        <w:tc>
          <w:tcPr/>
          <w:p>
            <w:pPr>
              <w:spacing w:before="0" w:after="60"/>
            </w:pPr>
            <w:r>
              <w:rPr>
                <w:rFonts w:ascii="IBM Plex Mono" w:hAnsi="IBM Plex Mono" w:cs="IBM Plex Mono"/>
                <w:color w:val="2D2D2D"/>
                <w:sz w:val="21"/>
              </w:rPr>
              <w:t xml:space="preserve">OXXON VERIFY · OVI/1.0</w:t>
            </w:r>
          </w:p>
        </w:tc>
      </w:tr>
      <w:tr>
        <w:trPr>
          <w:cantSplit/>
        </w:trPr>
        <w:tc>
          <w:tcPr>
            <w:shd w:val="clear" w:color="auto" w:fill="F7F8F7"/>
          </w:tcPr>
          <w:p>
            <w:pPr>
              <w:spacing w:before="0" w:after="60"/>
            </w:pPr>
            <w:r>
              <w:rPr>
                <w:rFonts w:ascii="Inter" w:hAnsi="Inter" w:cs="Inter"/>
                <w:color w:val="2D2D2D"/>
                <w:sz w:val="21"/>
              </w:rPr>
              <w:t xml:space="preserve">Comparison reference</w:t>
            </w:r>
          </w:p>
        </w:tc>
        <w:tc>
          <w:tcPr>
            <w:shd w:val="clear" w:color="auto" w:fill="F7F8F7"/>
          </w:tcPr>
          <w:p>
            <w:pPr>
              <w:spacing w:before="0" w:after="60"/>
            </w:pPr>
            <w:r>
              <w:rPr>
                <w:rFonts w:ascii="IBM Plex Mono" w:hAnsi="IBM Plex Mono" w:cs="IBM Plex Mono"/>
                <w:color w:val="2D2D2D"/>
                <w:sz w:val="21"/>
              </w:rPr>
              <w:t xml:space="preserve">1CF82B6B006814E8</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D1D5DB"/>
              <w:bottom w:val="single" w:sz="4" w:space="0" w:color="D1D5DB"/>
              <w:right w:val="single" w:sz="4" w:space="0" w:color="D1D5DB"/>
            </w:tcBorders>
            <w:shd w:val="clear" w:color="auto" w:fill="F7F8F7"/>
            <w:tcMar>
              <w:top w:w="60" w:type="dxa"/>
              <w:left w:w="150" w:type="dxa"/>
              <w:bottom w:w="60" w:type="dxa"/>
              <w:right w:w="150" w:type="dxa"/>
            </w:tcMar>
          </w:tcPr>
          <w:p>
            <w:pPr>
              <w:spacing w:before="0" w:after="60"/>
            </w:pPr>
            <w:r>
              <w:rPr>
                <w:rFonts w:ascii="Inter" w:hAnsi="Inter" w:cs="Inter"/>
                <w:b/>
                <w:caps/>
                <w:color w:val="6B7280"/>
                <w:sz w:val="18"/>
              </w:rPr>
              <w:t xml:space="preserve">SCOPE   </w:t>
            </w:r>
            <w:r>
              <w:rPr>
                <w:rFonts w:ascii="Inter" w:hAnsi="Inter" w:cs="Inter"/>
                <w:color w:val="6B7280"/>
                <w:sz w:val="18"/>
              </w:rPr>
              <w:t xml:space="preserve">This report compares two versions of the same workbook and states what differs between them. It does not verify that either version is correct, does not assess commercial or market assumptions, and is not an audit opinion or a regulated assurance engagement.</w:t>
            </w:r>
          </w:p>
        </w:tc>
      </w:tr>
    </w:tbl>
    <w:p>
      <w:pPr>
        <w:spacing w:before="960" w:after="180"/>
        <w:keepNext/>
        <w:pBdr>
          <w:bottom w:val="single" w:sz="6" w:space="4" w:color="E5E7EB"/>
        </w:pBdr>
      </w:pPr>
      <w:r>
        <w:rPr>
          <w:rFonts w:ascii="Inter" w:hAnsi="Inter" w:cs="Inter"/>
          <w:b/>
          <w:color w:val="1A1D1B"/>
          <w:sz w:val="22"/>
        </w:rPr>
        <w:t xml:space="preserve">5. Conclusion</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4"/>
              </w:rPr>
              <w:t xml:space="preserve">The Candidate contains changes that require review before conclusions from the Reference are carried forward.</w:t>
            </w:r>
          </w:p>
          <w:p>
            <w:pPr>
              <w:spacing w:before="0" w:after="60"/>
            </w:pPr>
            <w:r>
              <w:rPr>
                <w:rFonts w:ascii="Inter" w:hAnsi="Inter" w:cs="Inter"/>
                <w:color w:val="2D2D2D"/>
                <w:sz w:val="21"/>
              </w:rPr>
              <w:t xml:space="preserve">VERIFY identified 1,361 changes between the Reference and the Candidate. The changes include modifications to calculations and/or model structure, and 2,782 affected items require review or re-verification before prior conclusions are treated as continuing to apply to the Candidate.</w:t>
            </w:r>
          </w:p>
          <w:p>
            <w:pPr>
              <w:spacing w:before="0" w:after="60"/>
            </w:pPr>
            <w:r>
              <w:rPr>
                <w:rFonts w:ascii="Inter" w:hAnsi="Inter" w:cs="Inter"/>
                <w:color w:val="2D2D2D"/>
                <w:sz w:val="21"/>
              </w:rPr>
              <w:t xml:space="preserve">The comparison does not determine whether the Candidate is correct or whether the changes are appropriate. It identifies what changed and defines the resulting review scope.</w:t>
            </w:r>
          </w:p>
          <w:p>
            <w:pPr>
              <w:spacing w:before="0" w:after="60"/>
            </w:pPr>
            <w:r>
              <w:rPr>
                <w:rFonts w:ascii="Inter" w:hAnsi="Inter" w:cs="Inter"/>
                <w:color w:val="2D2D2D"/>
                <w:sz w:val="21"/>
              </w:rPr>
              <w:t xml:space="preserve">The affected items should therefore be reviewed against the intended changes and supporting model rationale before the Candidate replaces the Reference for consequential use.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7F8F7"/>
            <w:tcMar>
              <w:top w:w="60" w:type="dxa"/>
              <w:left w:w="150" w:type="dxa"/>
              <w:bottom w:w="60" w:type="dxa"/>
              <w:right w:w="150" w:type="dxa"/>
            </w:tcMar>
          </w:tcPr>
          <w:p>
            <w:pPr>
              <w:spacing w:before="0" w:after="0"/>
            </w:pPr>
            <w:r>
              <w:rPr>
                <w:rFonts w:ascii="Inter" w:hAnsi="Inter" w:cs="Inter"/>
                <w:b/>
                <w:color w:val="1A1D1B"/>
                <w:sz w:val="21"/>
              </w:rPr>
              <w:t xml:space="preserve">Recommended review status: </w:t>
            </w:r>
            <w:r>
              <w:rPr>
                <w:rFonts w:ascii="Inter" w:hAnsi="Inter" w:cs="Inter"/>
                <w:b/>
                <w:color w:val="1A1D1B"/>
                <w:sz w:val="21"/>
              </w:rPr>
              <w:t xml:space="preserve">RE-VERIFICATION REQUIRED</w:t>
            </w:r>
          </w:p>
        </w:tc>
      </w:tr>
    </w:tbl>
    <w:sectPr>
      <w:pgSz w:w="12240" w:h="15840"/>
      <w:pgMar w:top="1440" w:right="1440" w:bottom="1440" w:left="1440" w:header="720" w:footer="720" w:gutter="0"/>
    </w:sectPr>
  </w:body>
</w:document>
</file>