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60"/>
      </w:pPr>
      <w:r>
        <w:rPr>
          <w:rFonts w:ascii="Inter" w:hAnsi="Inter" w:cs="Inter"/>
          <w:b/>
          <w:color w:val="004800"/>
          <w:sz w:val="58"/>
        </w:rPr>
        <w:t xml:space="preserve">OXXON VERIFY</w:t>
      </w:r>
    </w:p>
    <w:p>
      <w:pPr>
        <w:spacing w:before="0" w:after="0"/>
      </w:pPr>
      <w:r>
        <w:rPr>
          <w:rFonts w:ascii="Inter" w:hAnsi="Inter" w:cs="Inter"/>
          <w:b/>
          <w:caps/>
          <w:color w:val="1A1D1B"/>
          <w:sz w:val="24"/>
        </w:rPr>
        <w:t xml:space="preserve">· Technical Report</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60"/>
      </w:pPr>
      <w:r>
        <w:rPr>
          <w:rFonts w:ascii="Inter" w:hAnsi="Inter" w:cs="Inter"/>
          <w:b/>
          <w:color w:val="6B7280"/>
          <w:sz w:val="21"/>
        </w:rPr>
        <w:t xml:space="preserve">Reference: </w:t>
      </w:r>
      <w:r>
        <w:rPr>
          <w:rFonts w:ascii="IBM Plex Mono" w:hAnsi="IBM Plex Mono" w:cs="IBM Plex Mono"/>
          <w:color w:val="2D2D2D"/>
          <w:sz w:val="21"/>
        </w:rPr>
        <w:t xml:space="preserve">5-Tier Equity Waterfall with MOIC and IRR Hurdles.xlsx</w:t>
      </w:r>
    </w:p>
    <w:p>
      <w:pPr>
        <w:spacing w:before="0" w:after="60"/>
      </w:pPr>
      <w:r>
        <w:rPr>
          <w:rFonts w:ascii="Inter" w:hAnsi="Inter" w:cs="Inter"/>
          <w:b/>
          <w:color w:val="6B7280"/>
          <w:sz w:val="21"/>
        </w:rPr>
        <w:t xml:space="preserve">Candidate: </w:t>
      </w:r>
      <w:r>
        <w:rPr>
          <w:rFonts w:ascii="IBM Plex Mono" w:hAnsi="IBM Plex Mono" w:cs="IBM Plex Mono"/>
          <w:color w:val="2D2D2D"/>
          <w:sz w:val="21"/>
        </w:rPr>
        <w:t xml:space="preserve">5-Tier TEST Equity Waterfall with MOIC and IRR Hurdles.xlsx</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BM Plex Mono" w:hAnsi="IBM Plex Mono" w:cs="IBM Plex Mono"/>
          <w:color w:val="6B7280"/>
          <w:sz w:val="18"/>
        </w:rPr>
        <w:t xml:space="preserve">1CF82B6B006814E8    ·    Compared 3 August 2026    ·    CONFIDENTIAL</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120"/>
        <w:pBdr>
          <w:bottom w:val="single" w:sz="6" w:space="4" w:color="E5E7EB"/>
        </w:pBdr>
      </w:pPr>
      <w:r>
        <w:rPr>
          <w:rFonts w:ascii="Inter" w:hAnsi="Inter" w:cs="Inter"/>
          <w:color w:val="2D2D2D"/>
          <w:sz w:val="18"/>
        </w:rPr>
        <w:t xml:space="preserve"/>
      </w:r>
    </w:p>
    <w:p>
      <w:pPr>
        <w:spacing w:before="0" w:after="0"/>
      </w:pPr>
      <w:r>
        <w:rPr>
          <w:rFonts w:ascii="Inter" w:hAnsi="Inter" w:cs="Inter"/>
          <w:color w:val="6B7280"/>
          <w:sz w:val="21"/>
        </w:rPr>
        <w:t xml:space="preserve">Issued by </w:t>
      </w:r>
      <w:r>
        <w:rPr>
          <w:rFonts w:ascii="Inter" w:hAnsi="Inter" w:cs="Inter"/>
          <w:b/>
          <w:color w:val="1A1D1B"/>
          <w:sz w:val="21"/>
        </w:rPr>
        <w:t xml:space="preserve">Oxxon Advisors</w:t>
      </w:r>
    </w:p>
    <w:p>
      <w:r>
        <w:br w:type="page"/>
      </w:r>
    </w:p>
    <w:p>
      <w:pPr>
        <w:spacing w:before="960" w:after="180"/>
        <w:keepNext/>
        <w:pBdr>
          <w:bottom w:val="single" w:sz="6" w:space="4" w:color="E5E7EB"/>
        </w:pBdr>
      </w:pPr>
      <w:r>
        <w:rPr>
          <w:rFonts w:ascii="Inter" w:hAnsi="Inter" w:cs="Inter"/>
          <w:b/>
          <w:color w:val="1A1D1B"/>
          <w:sz w:val="22"/>
        </w:rPr>
        <w:t xml:space="preserve">1. Result</w:t>
      </w:r>
    </w:p>
    <w:p>
      <w:pPr>
        <w:spacing w:before="0" w:after="60"/>
      </w:pPr>
      <w:r>
        <w:rPr>
          <w:rFonts w:ascii="Inter" w:hAnsi="Inter" w:cs="Inter"/>
          <w:color w:val="2D2D2D"/>
          <w:sz w:val="21"/>
        </w:rPr>
        <w:t xml:space="preserve">1,363 changes were identified between the Reference and the Candidate. 14,858 compared items were unchanged.</w:t>
      </w:r>
    </w:p>
    <w:p>
      <w:pPr>
        <w:spacing w:before="0" w:after="120"/>
      </w:pPr>
      <w:r>
        <w:rPr>
          <w:rFonts w:ascii="Inter" w:hAnsi="Inter" w:cs="Inter"/>
          <w:b/>
          <w:color w:val="1A1D1B"/>
          <w:sz w:val="24"/>
        </w:rPr>
        <w:t xml:space="preserve">2,782 affected items require review or re-verification.</w:t>
      </w:r>
    </w:p>
    <w:p>
      <w:pPr>
        <w:pBdr>
          <w:top w:val="single" w:sz="6" w:space="6" w:color="991B1B"/>
          <w:left w:val="single" w:sz="6" w:space="6" w:color="991B1B"/>
          <w:bottom w:val="single" w:sz="6" w:space="6" w:color="991B1B"/>
          <w:right w:val="single" w:sz="6" w:space="6" w:color="991B1B"/>
        </w:pBdr>
        <w:shd w:val="clear" w:color="auto" w:fill="FDECEC"/>
        <w:spacing w:before="120" w:after="120"/>
        <w:ind w:left="120" w:right="120"/>
      </w:pPr>
      <w:r>
        <w:rPr>
          <w:rFonts w:ascii="Inter" w:hAnsi="Inter" w:cs="Inter"/>
          <w:b/>
          <w:color w:val="1A1D1B"/>
          <w:sz w:val="24"/>
        </w:rPr>
        <w:t xml:space="preserve">CALCULATION CHANGES IDENTIFIED.</w:t>
      </w:r>
      <w:r>
        <w:rPr>
          <w:rFonts w:ascii="Inter" w:hAnsi="Inter" w:cs="Inter"/>
          <w:color w:val="2D2D2D"/>
          <w:sz w:val="24"/>
        </w:rPr>
        <w:t xml:space="preserve"> 1,363 changes between the Reference and the Candidate.</w:t>
      </w:r>
    </w:p>
    <w:p>
      <w:pPr>
        <w:spacing w:before="0" w:after="60"/>
      </w:pPr>
      <w:r>
        <w:rPr>
          <w:rFonts w:ascii="Inter" w:hAnsi="Inter" w:cs="Inter"/>
          <w:color w:val="2D2D2D"/>
          <w:sz w:val="18"/>
        </w:rPr>
        <w:t xml:space="preserve"/>
      </w:r>
    </w:p>
    <w:p>
      <w:pPr>
        <w:spacing w:before="0" w:after="120"/>
      </w:pPr>
      <w:r>
        <w:rPr>
          <w:rFonts w:ascii="Inter" w:hAnsi="Inter" w:cs="Inter"/>
          <w:color w:val="2D2D2D"/>
          <w:sz w:val="21"/>
        </w:rPr>
        <w:t xml:space="preserve">The calculations changed. Formulas, values or the inputs they draw on differ between the Reference and the Candidate, so results the Reference produced cannot be assumed to hold in the Candidate.</w:t>
      </w:r>
    </w:p>
    <w:p>
      <w:pPr>
        <w:spacing w:before="0" w:after="120"/>
      </w:pPr>
      <w:r>
        <w:rPr>
          <w:rFonts w:ascii="Inter" w:hAnsi="Inter" w:cs="Inter"/>
          <w:color w:val="6B7280"/>
          <w:sz w:val="21"/>
        </w:rPr>
        <w:t xml:space="preserve">15,740 comparable items in the Reference and 15,740 in the Candidate were compared item by item. 14,858 are unchanged.</w:t>
      </w:r>
    </w:p>
    <w:p>
      <w:pPr>
        <w:spacing w:before="960" w:after="180"/>
        <w:keepNext/>
        <w:pBdr>
          <w:bottom w:val="single" w:sz="6" w:space="4" w:color="E5E7EB"/>
        </w:pBdr>
      </w:pPr>
      <w:r>
        <w:rPr>
          <w:rFonts w:ascii="Inter" w:hAnsi="Inter" w:cs="Inter"/>
          <w:b/>
          <w:color w:val="1A1D1B"/>
          <w:sz w:val="22"/>
        </w:rPr>
        <w:t xml:space="preserve">2. Change Summary</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340"/>
        <w:gridCol w:w="2340"/>
        <w:gridCol w:w="2340"/>
        <w:gridCol w:w="2340"/>
      </w:tblGrid>
      <w:tr>
        <w:tc>
          <w:tcPr>
            <w:shd w:val="clear" w:color="auto" w:fill="FDECEC"/>
          </w:tcPr>
          <w:p>
            <w:pPr>
              <w:spacing w:before="0" w:after="120"/>
              <w:jc w:val="center"/>
            </w:pPr>
            <w:r>
              <w:rPr>
                <w:rFonts w:ascii="Inter" w:hAnsi="Inter" w:cs="Inter"/>
                <w:b/>
                <w:color w:val="991B1B"/>
                <w:sz w:val="22"/>
              </w:rPr>
              <w:t xml:space="preserve">CHANGED</w:t>
            </w:r>
          </w:p>
        </w:tc>
        <w:tc>
          <w:tcPr>
            <w:shd w:val="clear" w:color="auto" w:fill="FEF3E2"/>
          </w:tcPr>
          <w:p>
            <w:pPr>
              <w:spacing w:before="0" w:after="120"/>
              <w:jc w:val="center"/>
            </w:pPr>
            <w:r>
              <w:rPr>
                <w:rFonts w:ascii="Inter" w:hAnsi="Inter" w:cs="Inter"/>
                <w:b/>
                <w:color w:val="B45309"/>
                <w:sz w:val="22"/>
              </w:rPr>
              <w:t xml:space="preserve">ADDED</w:t>
            </w:r>
          </w:p>
        </w:tc>
        <w:tc>
          <w:tcPr>
            <w:shd w:val="clear" w:color="auto" w:fill="FEF3E2"/>
          </w:tcPr>
          <w:p>
            <w:pPr>
              <w:spacing w:before="0" w:after="120"/>
              <w:jc w:val="center"/>
            </w:pPr>
            <w:r>
              <w:rPr>
                <w:rFonts w:ascii="Inter" w:hAnsi="Inter" w:cs="Inter"/>
                <w:b/>
                <w:color w:val="B45309"/>
                <w:sz w:val="22"/>
              </w:rPr>
              <w:t xml:space="preserve">REMOVED</w:t>
            </w:r>
          </w:p>
        </w:tc>
        <w:tc>
          <w:tcPr>
            <w:shd w:val="clear" w:color="auto" w:fill="FDECEC"/>
          </w:tcPr>
          <w:p>
            <w:pPr>
              <w:spacing w:before="0" w:after="120"/>
              <w:jc w:val="center"/>
            </w:pPr>
            <w:r>
              <w:rPr>
                <w:rFonts w:ascii="Inter" w:hAnsi="Inter" w:cs="Inter"/>
                <w:b/>
                <w:color w:val="991B1B"/>
                <w:sz w:val="22"/>
              </w:rPr>
              <w:t xml:space="preserve">UNMATCHED</w:t>
            </w:r>
          </w:p>
        </w:tc>
      </w:tr>
      <w:tr>
        <w:tc>
          <w:tcPr/>
          <w:p>
            <w:pPr>
              <w:spacing w:before="0" w:after="120"/>
              <w:jc w:val="center"/>
            </w:pPr>
            <w:r>
              <w:rPr>
                <w:rFonts w:ascii="Inter" w:hAnsi="Inter" w:cs="Inter"/>
                <w:b/>
                <w:color w:val="1A1D1B"/>
                <w:sz w:val="24"/>
              </w:rPr>
              <w:t xml:space="preserve">401</w:t>
            </w:r>
          </w:p>
        </w:tc>
        <w:tc>
          <w:tcPr/>
          <w:p>
            <w:pPr>
              <w:spacing w:before="0" w:after="120"/>
              <w:jc w:val="center"/>
            </w:pPr>
            <w:r>
              <w:rPr>
                <w:rFonts w:ascii="Inter" w:hAnsi="Inter" w:cs="Inter"/>
                <w:b/>
                <w:color w:val="1A1D1B"/>
                <w:sz w:val="24"/>
              </w:rPr>
              <w:t xml:space="preserve">481</w:t>
            </w:r>
          </w:p>
        </w:tc>
        <w:tc>
          <w:tcPr/>
          <w:p>
            <w:pPr>
              <w:spacing w:before="0" w:after="120"/>
              <w:jc w:val="center"/>
            </w:pPr>
            <w:r>
              <w:rPr>
                <w:rFonts w:ascii="Inter" w:hAnsi="Inter" w:cs="Inter"/>
                <w:b/>
                <w:color w:val="1A1D1B"/>
                <w:sz w:val="24"/>
              </w:rPr>
              <w:t xml:space="preserve">481</w:t>
            </w:r>
          </w:p>
        </w:tc>
        <w:tc>
          <w:tcPr/>
          <w:p>
            <w:pPr>
              <w:spacing w:before="0" w:after="120"/>
              <w:jc w:val="center"/>
            </w:pPr>
            <w:r>
              <w:rPr>
                <w:rFonts w:ascii="Inter" w:hAnsi="Inter" w:cs="Inter"/>
                <w:b/>
                <w:color w:val="1A1D1B"/>
                <w:sz w:val="24"/>
              </w:rPr>
              <w:t xml:space="preserve">0</w:t>
            </w:r>
          </w:p>
        </w:tc>
      </w:tr>
    </w:tbl>
    <w:p>
      <w:pPr>
        <w:spacing w:before="0" w:after="60"/>
      </w:pPr>
      <w:r>
        <w:rPr>
          <w:rFonts w:ascii="Inter" w:hAnsi="Inter" w:cs="Inter"/>
          <w:color w:val="2D2D2D"/>
          <w:sz w:val="18"/>
        </w:rPr>
        <w:t xml:space="preserve"/>
      </w:r>
    </w:p>
    <w:p>
      <w:pPr>
        <w:spacing w:before="0" w:after="60"/>
      </w:pPr>
      <w:r>
        <w:rPr>
          <w:rFonts w:ascii="Inter" w:hAnsi="Inter" w:cs="Inter"/>
          <w:b/>
          <w:caps/>
          <w:color w:val="6B7280"/>
          <w:sz w:val="21"/>
        </w:rPr>
        <w:t xml:space="preserve">Comparison accounting</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1800"/>
        <w:gridCol w:w="1400"/>
        <w:gridCol w:w="1400"/>
        <w:gridCol w:w="1190"/>
        <w:gridCol w:w="1190"/>
        <w:gridCol w:w="1190"/>
        <w:gridCol w:w="1190"/>
      </w:tblGrid>
      <w:tr>
        <w:tc>
          <w:tcPr>
            <w:shd w:val="clear" w:color="auto" w:fill="1A1D1B"/>
          </w:tcPr>
          <w:p>
            <w:pPr>
              <w:spacing w:before="0" w:after="120"/>
            </w:pPr>
            <w:r>
              <w:rPr>
                <w:rFonts w:ascii="Inter" w:hAnsi="Inter" w:cs="Inter"/>
                <w:b/>
                <w:caps/>
                <w:color w:val="FFFFFF"/>
                <w:sz w:val="18"/>
              </w:rPr>
              <w:t xml:space="preserve">Type</w:t>
            </w:r>
          </w:p>
        </w:tc>
        <w:tc>
          <w:tcPr>
            <w:shd w:val="clear" w:color="auto" w:fill="1A1D1B"/>
          </w:tcPr>
          <w:p>
            <w:pPr>
              <w:spacing w:before="0" w:after="120"/>
              <w:jc w:val="right"/>
            </w:pPr>
            <w:r>
              <w:rPr>
                <w:rFonts w:ascii="Inter" w:hAnsi="Inter" w:cs="Inter"/>
                <w:b/>
                <w:caps/>
                <w:color w:val="FFFFFF"/>
                <w:sz w:val="18"/>
              </w:rPr>
              <w:t xml:space="preserve">Reference</w:t>
            </w:r>
          </w:p>
        </w:tc>
        <w:tc>
          <w:tcPr>
            <w:shd w:val="clear" w:color="auto" w:fill="1A1D1B"/>
          </w:tcPr>
          <w:p>
            <w:pPr>
              <w:spacing w:before="0" w:after="120"/>
              <w:jc w:val="right"/>
            </w:pPr>
            <w:r>
              <w:rPr>
                <w:rFonts w:ascii="Inter" w:hAnsi="Inter" w:cs="Inter"/>
                <w:b/>
                <w:caps/>
                <w:color w:val="FFFFFF"/>
                <w:sz w:val="18"/>
              </w:rPr>
              <w:t xml:space="preserve">Candidate</w:t>
            </w:r>
          </w:p>
        </w:tc>
        <w:tc>
          <w:tcPr>
            <w:shd w:val="clear" w:color="auto" w:fill="1A1D1B"/>
          </w:tcPr>
          <w:p>
            <w:pPr>
              <w:spacing w:before="0" w:after="120"/>
              <w:jc w:val="right"/>
            </w:pPr>
            <w:r>
              <w:rPr>
                <w:rFonts w:ascii="Inter" w:hAnsi="Inter" w:cs="Inter"/>
                <w:b/>
                <w:caps/>
                <w:color w:val="FFFFFF"/>
                <w:sz w:val="18"/>
              </w:rPr>
              <w:t xml:space="preserve">Same</w:t>
            </w:r>
          </w:p>
        </w:tc>
        <w:tc>
          <w:tcPr>
            <w:shd w:val="clear" w:color="auto" w:fill="1A1D1B"/>
          </w:tcPr>
          <w:p>
            <w:pPr>
              <w:spacing w:before="0" w:after="120"/>
              <w:jc w:val="right"/>
            </w:pPr>
            <w:r>
              <w:rPr>
                <w:rFonts w:ascii="Inter" w:hAnsi="Inter" w:cs="Inter"/>
                <w:b/>
                <w:caps/>
                <w:color w:val="FFFFFF"/>
                <w:sz w:val="18"/>
              </w:rPr>
              <w:t xml:space="preserve">Changed</w:t>
            </w:r>
          </w:p>
        </w:tc>
        <w:tc>
          <w:tcPr>
            <w:shd w:val="clear" w:color="auto" w:fill="1A1D1B"/>
          </w:tcPr>
          <w:p>
            <w:pPr>
              <w:spacing w:before="0" w:after="120"/>
              <w:jc w:val="right"/>
            </w:pPr>
            <w:r>
              <w:rPr>
                <w:rFonts w:ascii="Inter" w:hAnsi="Inter" w:cs="Inter"/>
                <w:b/>
                <w:caps/>
                <w:color w:val="FFFFFF"/>
                <w:sz w:val="18"/>
              </w:rPr>
              <w:t xml:space="preserve">Added</w:t>
            </w:r>
          </w:p>
        </w:tc>
        <w:tc>
          <w:tcPr>
            <w:shd w:val="clear" w:color="auto" w:fill="1A1D1B"/>
          </w:tcPr>
          <w:p>
            <w:pPr>
              <w:spacing w:before="0" w:after="120"/>
              <w:jc w:val="right"/>
            </w:pPr>
            <w:r>
              <w:rPr>
                <w:rFonts w:ascii="Inter" w:hAnsi="Inter" w:cs="Inter"/>
                <w:b/>
                <w:caps/>
                <w:color w:val="FFFFFF"/>
                <w:sz w:val="18"/>
              </w:rPr>
              <w:t xml:space="preserve">Removed</w:t>
            </w:r>
          </w:p>
        </w:tc>
      </w:tr>
      <w:tr>
        <w:trPr>
          <w:cantSplit/>
        </w:trPr>
        <w:tc>
          <w:tcPr/>
          <w:p>
            <w:pPr>
              <w:spacing w:before="0" w:after="60"/>
            </w:pPr>
            <w:r>
              <w:rPr>
                <w:rFonts w:ascii="Inter" w:hAnsi="Inter" w:cs="Inter"/>
                <w:color w:val="2D2D2D"/>
                <w:sz w:val="21"/>
              </w:rPr>
              <w:t xml:space="preserve">Workbook</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r>
      <w:tr>
        <w:trPr>
          <w:cantSplit/>
        </w:trPr>
        <w:tc>
          <w:tcPr/>
          <w:p>
            <w:pPr>
              <w:spacing w:before="0" w:after="60"/>
            </w:pPr>
            <w:r>
              <w:rPr>
                <w:rFonts w:ascii="Inter" w:hAnsi="Inter" w:cs="Inter"/>
                <w:color w:val="2D2D2D"/>
                <w:sz w:val="21"/>
              </w:rPr>
              <w:t xml:space="preserve">Worksheet</w:t>
            </w:r>
          </w:p>
        </w:tc>
        <w:tc>
          <w:tcPr/>
          <w:p>
            <w:pPr>
              <w:spacing w:before="0" w:after="60"/>
              <w:jc w:val="right"/>
            </w:pPr>
            <w:r>
              <w:rPr>
                <w:rFonts w:ascii="Inter" w:hAnsi="Inter" w:cs="Inter"/>
                <w:color w:val="2D2D2D"/>
                <w:sz w:val="21"/>
              </w:rPr>
              <w:t xml:space="preserve">2</w:t>
            </w:r>
          </w:p>
        </w:tc>
        <w:tc>
          <w:tcPr/>
          <w:p>
            <w:pPr>
              <w:spacing w:before="0" w:after="60"/>
              <w:jc w:val="right"/>
            </w:pPr>
            <w:r>
              <w:rPr>
                <w:rFonts w:ascii="Inter" w:hAnsi="Inter" w:cs="Inter"/>
                <w:color w:val="2D2D2D"/>
                <w:sz w:val="21"/>
              </w:rPr>
              <w:t xml:space="preserve">2</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r>
      <w:tr>
        <w:trPr>
          <w:cantSplit/>
        </w:trPr>
        <w:tc>
          <w:tcPr/>
          <w:p>
            <w:pPr>
              <w:spacing w:before="0" w:after="60"/>
            </w:pPr>
            <w:r>
              <w:rPr>
                <w:rFonts w:ascii="Inter" w:hAnsi="Inter" w:cs="Inter"/>
                <w:color w:val="2D2D2D"/>
                <w:sz w:val="21"/>
              </w:rPr>
              <w:t xml:space="preserve">Cell</w:t>
            </w:r>
          </w:p>
        </w:tc>
        <w:tc>
          <w:tcPr/>
          <w:p>
            <w:pPr>
              <w:spacing w:before="0" w:after="60"/>
              <w:jc w:val="right"/>
            </w:pPr>
            <w:r>
              <w:rPr>
                <w:rFonts w:ascii="Inter" w:hAnsi="Inter" w:cs="Inter"/>
                <w:color w:val="2D2D2D"/>
                <w:sz w:val="21"/>
              </w:rPr>
              <w:t xml:space="preserve">4,142</w:t>
            </w:r>
          </w:p>
        </w:tc>
        <w:tc>
          <w:tcPr/>
          <w:p>
            <w:pPr>
              <w:spacing w:before="0" w:after="60"/>
              <w:jc w:val="right"/>
            </w:pPr>
            <w:r>
              <w:rPr>
                <w:rFonts w:ascii="Inter" w:hAnsi="Inter" w:cs="Inter"/>
                <w:color w:val="2D2D2D"/>
                <w:sz w:val="21"/>
              </w:rPr>
              <w:t xml:space="preserve">4,142</w:t>
            </w:r>
          </w:p>
        </w:tc>
        <w:tc>
          <w:tcPr/>
          <w:p>
            <w:pPr>
              <w:spacing w:before="0" w:after="60"/>
              <w:jc w:val="right"/>
            </w:pPr>
            <w:r>
              <w:rPr>
                <w:rFonts w:ascii="Inter" w:hAnsi="Inter" w:cs="Inter"/>
                <w:color w:val="2D2D2D"/>
                <w:sz w:val="21"/>
              </w:rPr>
              <w:t xml:space="preserve">3,741</w:t>
            </w:r>
          </w:p>
        </w:tc>
        <w:tc>
          <w:tcPr/>
          <w:p>
            <w:pPr>
              <w:spacing w:before="0" w:after="60"/>
              <w:jc w:val="right"/>
            </w:pPr>
            <w:r>
              <w:rPr>
                <w:rFonts w:ascii="Inter" w:hAnsi="Inter" w:cs="Inter"/>
                <w:color w:val="2D2D2D"/>
                <w:sz w:val="21"/>
              </w:rPr>
              <w:t xml:space="preserve">399</w:t>
            </w:r>
          </w:p>
        </w:tc>
        <w:tc>
          <w:tcPr/>
          <w:p>
            <w:pPr>
              <w:spacing w:before="0" w:after="60"/>
              <w:jc w:val="right"/>
            </w:pPr>
            <w:r>
              <w:rPr>
                <w:rFonts w:ascii="Inter" w:hAnsi="Inter" w:cs="Inter"/>
                <w:color w:val="2D2D2D"/>
                <w:sz w:val="21"/>
              </w:rPr>
              <w:t xml:space="preserve">2</w:t>
            </w:r>
          </w:p>
        </w:tc>
        <w:tc>
          <w:tcPr/>
          <w:p>
            <w:pPr>
              <w:spacing w:before="0" w:after="60"/>
              <w:jc w:val="right"/>
            </w:pPr>
            <w:r>
              <w:rPr>
                <w:rFonts w:ascii="Inter" w:hAnsi="Inter" w:cs="Inter"/>
                <w:color w:val="2D2D2D"/>
                <w:sz w:val="21"/>
              </w:rPr>
              <w:t xml:space="preserve">2</w:t>
            </w:r>
          </w:p>
        </w:tc>
      </w:tr>
      <w:tr>
        <w:trPr>
          <w:cantSplit/>
        </w:trPr>
        <w:tc>
          <w:tcPr/>
          <w:p>
            <w:pPr>
              <w:spacing w:before="0" w:after="60"/>
            </w:pPr>
            <w:r>
              <w:rPr>
                <w:rFonts w:ascii="Inter" w:hAnsi="Inter" w:cs="Inter"/>
                <w:color w:val="2D2D2D"/>
                <w:sz w:val="21"/>
              </w:rPr>
              <w:t xml:space="preserve">Dependency</w:t>
            </w:r>
          </w:p>
        </w:tc>
        <w:tc>
          <w:tcPr/>
          <w:p>
            <w:pPr>
              <w:spacing w:before="0" w:after="60"/>
              <w:jc w:val="right"/>
            </w:pPr>
            <w:r>
              <w:rPr>
                <w:rFonts w:ascii="Inter" w:hAnsi="Inter" w:cs="Inter"/>
                <w:color w:val="2D2D2D"/>
                <w:sz w:val="21"/>
              </w:rPr>
              <w:t xml:space="preserve">11,589</w:t>
            </w:r>
          </w:p>
        </w:tc>
        <w:tc>
          <w:tcPr/>
          <w:p>
            <w:pPr>
              <w:spacing w:before="0" w:after="60"/>
              <w:jc w:val="right"/>
            </w:pPr>
            <w:r>
              <w:rPr>
                <w:rFonts w:ascii="Inter" w:hAnsi="Inter" w:cs="Inter"/>
                <w:color w:val="2D2D2D"/>
                <w:sz w:val="21"/>
              </w:rPr>
              <w:t xml:space="preserve">11,589</w:t>
            </w:r>
          </w:p>
        </w:tc>
        <w:tc>
          <w:tcPr/>
          <w:p>
            <w:pPr>
              <w:spacing w:before="0" w:after="60"/>
              <w:jc w:val="right"/>
            </w:pPr>
            <w:r>
              <w:rPr>
                <w:rFonts w:ascii="Inter" w:hAnsi="Inter" w:cs="Inter"/>
                <w:color w:val="2D2D2D"/>
                <w:sz w:val="21"/>
              </w:rPr>
              <w:t xml:space="preserve">11,110</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479</w:t>
            </w:r>
          </w:p>
        </w:tc>
        <w:tc>
          <w:tcPr/>
          <w:p>
            <w:pPr>
              <w:spacing w:before="0" w:after="60"/>
              <w:jc w:val="right"/>
            </w:pPr>
            <w:r>
              <w:rPr>
                <w:rFonts w:ascii="Inter" w:hAnsi="Inter" w:cs="Inter"/>
                <w:color w:val="2D2D2D"/>
                <w:sz w:val="21"/>
              </w:rPr>
              <w:t xml:space="preserve">479</w:t>
            </w:r>
          </w:p>
        </w:tc>
      </w:tr>
      <w:tr>
        <w:trPr>
          <w:cantSplit/>
        </w:trPr>
        <w:tc>
          <w:tcPr/>
          <w:p>
            <w:pPr>
              <w:spacing w:before="0" w:after="60"/>
            </w:pPr>
            <w:r>
              <w:rPr>
                <w:rFonts w:ascii="Inter" w:hAnsi="Inter" w:cs="Inter"/>
                <w:color w:val="2D2D2D"/>
                <w:sz w:val="21"/>
              </w:rPr>
              <w:t xml:space="preserve">Workbook setting</w:t>
            </w:r>
          </w:p>
        </w:tc>
        <w:tc>
          <w:tcPr/>
          <w:p>
            <w:pPr>
              <w:spacing w:before="0" w:after="60"/>
              <w:jc w:val="right"/>
            </w:pPr>
            <w:r>
              <w:rPr>
                <w:rFonts w:ascii="Inter" w:hAnsi="Inter" w:cs="Inter"/>
                <w:color w:val="2D2D2D"/>
                <w:sz w:val="21"/>
              </w:rPr>
              <w:t xml:space="preserve">5</w:t>
            </w:r>
          </w:p>
        </w:tc>
        <w:tc>
          <w:tcPr/>
          <w:p>
            <w:pPr>
              <w:spacing w:before="0" w:after="60"/>
              <w:jc w:val="right"/>
            </w:pPr>
            <w:r>
              <w:rPr>
                <w:rFonts w:ascii="Inter" w:hAnsi="Inter" w:cs="Inter"/>
                <w:color w:val="2D2D2D"/>
                <w:sz w:val="21"/>
              </w:rPr>
              <w:t xml:space="preserve">5</w:t>
            </w:r>
          </w:p>
        </w:tc>
        <w:tc>
          <w:tcPr/>
          <w:p>
            <w:pPr>
              <w:spacing w:before="0" w:after="60"/>
              <w:jc w:val="right"/>
            </w:pPr>
            <w:r>
              <w:rPr>
                <w:rFonts w:ascii="Inter" w:hAnsi="Inter" w:cs="Inter"/>
                <w:color w:val="2D2D2D"/>
                <w:sz w:val="21"/>
              </w:rPr>
              <w:t xml:space="preserve">5</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r>
      <w:tr>
        <w:trPr>
          <w:cantSplit/>
        </w:trPr>
        <w:tc>
          <w:tcPr/>
          <w:p>
            <w:pPr>
              <w:spacing w:before="0" w:after="60"/>
            </w:pPr>
            <w:r>
              <w:rPr>
                <w:rFonts w:ascii="Inter" w:hAnsi="Inter" w:cs="Inter"/>
                <w:color w:val="2D2D2D"/>
                <w:sz w:val="21"/>
              </w:rPr>
              <w:t xml:space="preserve">Content coverage</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1</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c>
          <w:tcPr/>
          <w:p>
            <w:pPr>
              <w:spacing w:before="0" w:after="60"/>
              <w:jc w:val="right"/>
            </w:pPr>
            <w:r>
              <w:rPr>
                <w:rFonts w:ascii="Inter" w:hAnsi="Inter" w:cs="Inter"/>
                <w:color w:val="2D2D2D"/>
                <w:sz w:val="21"/>
              </w:rPr>
              <w:t xml:space="preserve">0</w:t>
            </w:r>
          </w:p>
        </w:tc>
      </w:tr>
    </w:tbl>
    <w:p>
      <w:pPr>
        <w:spacing w:before="0" w:after="120"/>
      </w:pPr>
      <w:r>
        <w:rPr>
          <w:rFonts w:ascii="Inter" w:hAnsi="Inter" w:cs="Inter"/>
          <w:color w:val="6B7280"/>
          <w:sz w:val="18"/>
        </w:rPr>
        <w:t xml:space="preserve">Every comparable item is accounted for exactly once: Reference = same + changed + removed + unmatched, Candidate = same + changed + added + unmatched.</w:t>
      </w:r>
    </w:p>
    <w:p>
      <w:pPr>
        <w:spacing w:before="0" w:after="120"/>
      </w:pPr>
      <w:r>
        <w:rPr>
          <w:rFonts w:ascii="Inter" w:hAnsi="Inter" w:cs="Inter"/>
          <w:color w:val="6B7280"/>
          <w:sz w:val="18"/>
        </w:rPr>
        <w:t xml:space="preserve">Of the 1,363 comparison records above, 2 are container records — the engine's own summary of the changes recorded elsewhere in this report — and 1,361 are changes that require reviewer attention in their own right.</w:t>
      </w:r>
    </w:p>
    <w:p>
      <w:pPr>
        <w:spacing w:before="960" w:after="180"/>
        <w:keepNext/>
        <w:pBdr>
          <w:bottom w:val="single" w:sz="6" w:space="4" w:color="E5E7EB"/>
        </w:pBdr>
      </w:pPr>
      <w:r>
        <w:rPr>
          <w:rFonts w:ascii="Inter" w:hAnsi="Inter" w:cs="Inter"/>
          <w:b/>
          <w:color w:val="1A1D1B"/>
          <w:sz w:val="22"/>
        </w:rPr>
        <w:t xml:space="preserve">3. Calculation Changes</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=IF($C$11=$C$110,SUM($D$37:$BL$37)*$C$12,AA$35*((1+$C$12)^((AA$26-Z$26)/365)-1))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=IF($C$11=$C$110,SUM($D$48:$BL$48)*$C$13,AA$46*((1+$C$13)^((AA$26-Z$26)/365)-1))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=IF($C$11=$C$110,SUM($D$61:$BL$61)*$C$14,AA$59*((1+$C$14)^((AA$26-Z$26)/365)-1))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=IF($C$11=$C$110,SUM($D$74:$BL$74)*$C$15,AA$72*((1+$C$15)^((AA$26-Z$26)/365)-1))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=IF($C$11=$C$110,SUM($D$37:$BL$37)*$C$12,AB$35*((1+$C$12)^((AB$26-AA$26)/365)-1))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=IF($C$11=$C$110,SUM($D$48:$BL$48)*$C$13,AB$46*((1+$C$13)^((AB$26-AA$26)/365)-1))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=IF($C$11=$C$110,SUM($D$61:$BL$61)*$C$14,AB$59*((1+$C$14)^((AB$26-AA$26)/365)-1))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=IF($C$11=$C$110,SUM($D$74:$BL$74)*$C$15,AB$72*((1+$C$15)^((AB$26-AA$26)/365)-1))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Waterfall!AC102</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=AND(AC$25&gt;=$D20,AC$25&lt;=$E20)*SWITCH($F20,$D$110,TRUE,$D$111,MOD(AC$25-$D20,3)=0,$D$112,MOD(AC$25-$D20,12)=0)*$C20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=AND(AC$25&gt;=$D20,AC$25&lt;=$E20)*SWITCH($F20,$D$110,TRUE,$D$111,MOD(AC$25-$D20,3)=0,$D$112,MOD(AC$25-$D20,12)=0)*$C20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Waterfall!AC103</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=IF($B$20=$E$111,MIN(AC30,SUM(AC101:AC102)),AC102)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=IF($B$20=$E$111,MIN(AC30,SUM(AC101:AC102)),AC102)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=IF($C$11=$C$110,SUM($D$37:$BL$37)*$C$12,AC$35*((1+$C$12)^((AC$26-AB$26)/365)-1))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=IF($C$11=$C$110,SUM($D$48:$BL$48)*$C$13,AC$46*((1+$C$13)^((AC$26-AB$26)/365)-1))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=IF($C$11=$C$110,SUM($D$61:$BL$61)*$C$14,AC$59*((1+$C$14)^((AC$26-AB$26)/365)-1))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=IF($C$11=$C$110,SUM($D$74:$BL$74)*$C$15,AC$72*((1+$C$15)^((AC$26-AB$26)/365)-1))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Waterfall!AC93</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=-AC103-AC105-AC106+AC92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=-AC103-AC105-AC106+AC92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Waterfall!AC97</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=SUM(AC103,AC105:AC106)+AC96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=SUM(AC103,AC105:AC106)+AC96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Waterfall!AD36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=IF($C$11=$C$110,SUM($D$37:$BL$37)*$C$12,AD$35*((1+$C$12)^((AD$26-AC$26)/365)-1))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Waterfall!AD47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=IF($C$11=$C$110,SUM($D$48:$BL$48)*$C$13,AD$46*((1+$C$13)^((AD$26-AC$26)/365)-1))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Waterfall!AD60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=IF($C$11=$C$110,SUM($D$61:$BL$61)*$C$14,AD$59*((1+$C$14)^((AD$26-AC$26)/365)-1))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Waterfall!AD73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=IF($C$11=$C$110,SUM($D$74:$BL$74)*$C$15,AD$72*((1+$C$15)^((AD$26-AC$26)/365)-1))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Waterfall!AE36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=IF($C$11=$C$110,SUM($D$37:$BL$37)*$C$12,AE$35*((1+$C$12)^((AE$26-AD$26)/365)-1))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Waterfall!AE47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=IF($C$11=$C$110,SUM($D$48:$BL$48)*$C$13,AE$46*((1+$C$13)^((AE$26-AD$26)/365)-1))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Waterfall!AE60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=IF($C$11=$C$110,SUM($D$61:$BL$61)*$C$14,AE$59*((1+$C$14)^((AE$26-AD$26)/365)-1))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Waterfall!AE73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=IF($C$11=$C$110,SUM($D$74:$BL$74)*$C$15,AE$72*((1+$C$15)^((AE$26-AD$26)/365)-1))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Waterfall!AF102</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=AND(AF$25&gt;=$D20,AF$25&lt;=$E20)*SWITCH($F20,$D$110,TRUE,$D$111,MOD(AF$25-$D20,3)=0,$D$112,MOD(AF$25-$D20,12)=0)*$C20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=AND(AF$25&gt;=$D20,AF$25&lt;=$E20)*SWITCH($F20,$D$110,TRUE,$D$111,MOD(AF$25-$D20,3)=0,$D$112,MOD(AF$25-$D20,12)=0)*$C20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Waterfall!AF103</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=IF($B$20=$E$111,MIN(AF30,SUM(AF101:AF102)),AF102)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=IF($B$20=$E$111,MIN(AF30,SUM(AF101:AF102)),AF102)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=IF($C$11=$C$110,SUM($D$37:$BL$37)*$C$12,AF$35*((1+$C$12)^((AF$26-AE$26)/365)-1))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=IF($C$11=$C$110,SUM($D$48:$BL$48)*$C$13,AF$46*((1+$C$13)^((AF$26-AE$26)/365)-1))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=IF($C$11=$C$110,SUM($D$61:$BL$61)*$C$14,AF$59*((1+$C$14)^((AF$26-AE$26)/365)-1))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=IF($C$11=$C$110,SUM($D$74:$BL$74)*$C$15,AF$72*((1+$C$15)^((AF$26-AE$26)/365)-1))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Waterfall!AF93</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=-AF103-AF105-AF106+AF92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=-AF103-AF105-AF106+AF92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VALUE CHANGED — Cell value changed</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Waterfall!AF97</w:t>
            </w:r>
          </w:p>
          <w:p>
            <w:pPr>
              <w:spacing w:before="0" w:after="60"/>
            </w:pPr>
            <w:r>
              <w:rPr>
                <w:rFonts w:ascii="Inter" w:hAnsi="Inter" w:cs="Inter"/>
                <w:b/>
                <w:color w:val="6B7280"/>
                <w:sz w:val="21"/>
              </w:rPr>
              <w:t xml:space="preserve">Previous: </w:t>
            </w:r>
            <w:r>
              <w:rPr>
                <w:rFonts w:ascii="IBM Plex Mono" w:hAnsi="IBM Plex Mono" w:cs="IBM Plex Mono"/>
                <w:color w:val="2D2D2D"/>
                <w:sz w:val="21"/>
              </w:rPr>
              <w:t xml:space="preserve">=SUM(AF103,AF105:AF106)+AF96    (cached result 100000)</w:t>
            </w:r>
          </w:p>
          <w:p>
            <w:pPr>
              <w:spacing w:before="0" w:after="60"/>
            </w:pPr>
            <w:r>
              <w:rPr>
                <w:rFonts w:ascii="Inter" w:hAnsi="Inter" w:cs="Inter"/>
                <w:b/>
                <w:color w:val="6B7280"/>
                <w:sz w:val="21"/>
              </w:rPr>
              <w:t xml:space="preserve">Current: </w:t>
            </w:r>
            <w:r>
              <w:rPr>
                <w:rFonts w:ascii="IBM Plex Mono" w:hAnsi="IBM Plex Mono" w:cs="IBM Plex Mono"/>
                <w:color w:val="2D2D2D"/>
                <w:sz w:val="21"/>
              </w:rPr>
              <w:t xml:space="preserve">=SUM(AF103,AF105:AF106)+AF96    (cached result 200000)</w:t>
            </w:r>
          </w:p>
          <w:p>
            <w:pPr>
              <w:spacing w:before="0" w:after="60"/>
            </w:pPr>
            <w:r>
              <w:rPr>
                <w:rFonts w:ascii="Inter" w:hAnsi="Inter" w:cs="Inter"/>
                <w:b/>
                <w:color w:val="6B7280"/>
                <w:sz w:val="21"/>
              </w:rPr>
              <w:t xml:space="preserve">What changed: </w:t>
            </w:r>
            <w:r>
              <w:rPr>
                <w:rFonts w:ascii="Inter" w:hAnsi="Inter" w:cs="Inter"/>
                <w:color w:val="2D2D2D"/>
                <w:sz w:val="21"/>
              </w:rPr>
              <w:t xml:space="preserve">The content held in this location differs between the two versions.</w:t>
            </w:r>
          </w:p>
          <w:p>
            <w:pPr>
              <w:spacing w:before="0" w:after="60"/>
            </w:pPr>
            <w:r>
              <w:rPr>
                <w:rFonts w:ascii="Inter" w:hAnsi="Inter" w:cs="Inter"/>
                <w:b/>
                <w:color w:val="6B7280"/>
                <w:sz w:val="21"/>
              </w:rPr>
              <w:t xml:space="preserve">Why it matters: </w:t>
            </w:r>
            <w:r>
              <w:rPr>
                <w:rFonts w:ascii="Inter" w:hAnsi="Inter" w:cs="Inter"/>
                <w:color w:val="2D2D2D"/>
                <w:sz w:val="21"/>
              </w:rPr>
              <w:t xml:space="preserve">Downstream calculations reading this location produce a different result in the Candidate.</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MODIFIED, VALUE CHANGED</w:t>
            </w:r>
          </w:p>
          <w:p>
            <w:pPr>
              <w:spacing w:before="0" w:after="60"/>
            </w:pPr>
            <w:r>
              <w:rPr>
                <w:rFonts w:ascii="Inter" w:hAnsi="Inter" w:cs="Inter"/>
                <w:b/>
                <w:color w:val="6B7280"/>
                <w:sz w:val="21"/>
              </w:rPr>
              <w:t xml:space="preserve">Action: </w:t>
            </w:r>
            <w:r>
              <w:rPr>
                <w:rFonts w:ascii="Inter" w:hAnsi="Inter" w:cs="Inter"/>
                <w:color w:val="2D2D2D"/>
                <w:sz w:val="21"/>
              </w:rPr>
              <w:t xml:space="preserve">Confirm the revised entry is intended, and re-verify the figures that read it.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Waterfall!AG36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=IF($C$11=$C$110,SUM($D$37:$BL$37)*$C$12,AG$35*((1+$C$12)^((AG$26-AF$26)/365)-1))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Waterfall!AG47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=IF($C$11=$C$110,SUM($D$48:$BL$48)*$C$13,AG$46*((1+$C$13)^((AG$26-AF$26)/365)-1))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Waterfall!AG60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=IF($C$11=$C$110,SUM($D$61:$BL$61)*$C$14,AG$59*((1+$C$14)^((AG$26-AF$26)/365)-1))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Waterfall!AG73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=IF($C$11=$C$110,SUM($D$74:$BL$74)*$C$15,AG$72*((1+$C$15)^((AG$26-AF$26)/365)-1))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Waterfall!AH36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=IF($C$11=$C$110,SUM($D$37:$BL$37)*$C$12,AH$35*((1+$C$12)^((AH$26-AG$26)/365)-1))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Waterfall!AH47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=IF($C$11=$C$110,SUM($D$48:$BL$48)*$C$13,AH$46*((1+$C$13)^((AH$26-AG$26)/365)-1))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Waterfall!AH60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=IF($C$11=$C$110,SUM($D$61:$BL$61)*$C$14,AH$59*((1+$C$14)^((AH$26-AG$26)/365)-1))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Waterfall!AH73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=IF($C$11=$C$110,SUM($D$74:$BL$74)*$C$15,AH$72*((1+$C$15)^((AH$26-AG$26)/365)-1))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Object type: </w:t>
            </w:r>
            <w:r>
              <w:rPr>
                <w:rFonts w:ascii="Inter" w:hAnsi="Inter" w:cs="Inter"/>
                <w:color w:val="2D2D2D"/>
                <w:sz w:val="21"/>
              </w:rPr>
              <w:t xml:space="preserve">Cell</w:t>
            </w:r>
          </w:p>
          <w:p>
            <w:pPr>
              <w:spacing w:before="0" w:after="60"/>
            </w:pPr>
            <w:r>
              <w:rPr>
                <w:rFonts w:ascii="Inter" w:hAnsi="Inter" w:cs="Inter"/>
                <w:b/>
                <w:color w:val="6B7280"/>
                <w:sz w:val="21"/>
              </w:rPr>
              <w:t xml:space="preserve">Change types recorded: </w:t>
            </w:r>
            <w:r>
              <w:rPr>
                <w:rFonts w:ascii="Inter" w:hAnsi="Inter" w:cs="Inter"/>
                <w:color w:val="2D2D2D"/>
                <w:sz w:val="21"/>
              </w:rPr>
              <w:t xml:space="preserve">DEPENDENCY CHANGED</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p>
      <w:pPr>
        <w:spacing w:before="0" w:after="120"/>
      </w:pPr>
      <w:r>
        <w:rPr>
          <w:rFonts w:ascii="Inter" w:hAnsi="Inter" w:cs="Inter"/>
          <w:color w:val="6B7280"/>
          <w:sz w:val="21"/>
        </w:rPr>
        <w:t xml:space="preserve">1,323 further change record(s) are included in the counts above but not detailed individually here.</w:t>
      </w:r>
    </w:p>
    <w:p>
      <w:pPr>
        <w:spacing w:before="960" w:after="180"/>
        <w:keepNext/>
        <w:pBdr>
          <w:bottom w:val="single" w:sz="6" w:space="4" w:color="E5E7EB"/>
        </w:pBdr>
      </w:pPr>
      <w:r>
        <w:rPr>
          <w:rFonts w:ascii="Inter" w:hAnsi="Inter" w:cs="Inter"/>
          <w:b/>
          <w:color w:val="1A1D1B"/>
          <w:sz w:val="22"/>
        </w:rPr>
        <w:t xml:space="preserve">4. Re-verification Obligations</w:t>
      </w:r>
    </w:p>
    <w:tbl>
      <w:tblPr>
        <w:tblW w:w="0" w:type="auto"/>
        <w:tblBorders>
          <w:top w:val="single" w:sz="4" w:space="0" w:color="D1D5DB"/>
          <w:left w:val="nil"/>
          <w:bottom w:val="single" w:sz="4" w:space="0" w:color="D1D5DB"/>
          <w:right w:val="nil"/>
          <w:insideH w:val="single" w:sz="2" w:space="0" w:color="E5E7EB"/>
          <w:insideV w:val="nil"/>
        </w:tblBorders>
      </w:tblPr>
      <w:tblGrid>
        <w:gridCol/>
        <w:gridCol/>
      </w:tblGrid>
      <w:tr>
        <w:trPr>
          <w:cantSplit/>
        </w:trPr>
        <w:tc>
          <w:tcPr>
            <w:shd w:val="clear" w:color="auto" w:fill="F7F8F7"/>
          </w:tcPr>
          <w:p>
            <w:pPr>
              <w:spacing w:before="0" w:after="60"/>
            </w:pPr>
            <w:r>
              <w:rPr>
                <w:rFonts w:ascii="Inter" w:hAnsi="Inter" w:cs="Inter"/>
                <w:b/>
                <w:caps/>
                <w:color w:val="6B7280"/>
                <w:sz w:val="18"/>
              </w:rPr>
              <w:t xml:space="preserve">Disposition</w:t>
            </w:r>
          </w:p>
        </w:tc>
        <w:tc>
          <w:tcPr>
            <w:shd w:val="clear" w:color="auto" w:fill="F7F8F7"/>
          </w:tcPr>
          <w:p>
            <w:pPr>
              <w:spacing w:before="0" w:after="60"/>
              <w:jc w:val="right"/>
            </w:pPr>
            <w:r>
              <w:rPr>
                <w:rFonts w:ascii="Inter" w:hAnsi="Inter" w:cs="Inter"/>
                <w:b/>
                <w:caps/>
                <w:color w:val="6B7280"/>
                <w:sz w:val="18"/>
              </w:rPr>
              <w:t xml:space="preserve">Items</w:t>
            </w:r>
          </w:p>
        </w:tc>
      </w:tr>
      <w:tr>
        <w:trPr>
          <w:cantSplit/>
        </w:trPr>
        <w:tc>
          <w:tcPr/>
          <w:p>
            <w:pPr>
              <w:spacing w:before="0" w:after="60"/>
            </w:pPr>
            <w:r>
              <w:rPr>
                <w:rFonts w:ascii="Inter" w:hAnsi="Inter" w:cs="Inter"/>
                <w:color w:val="2D2D2D"/>
                <w:sz w:val="21"/>
              </w:rPr>
              <w:t xml:space="preserve">Removed — previously reviewed items no longer exist</w:t>
            </w:r>
          </w:p>
        </w:tc>
        <w:tc>
          <w:tcPr/>
          <w:p>
            <w:pPr>
              <w:spacing w:before="0" w:after="60"/>
              <w:jc w:val="right"/>
            </w:pPr>
            <w:r>
              <w:rPr>
                <w:rFonts w:ascii="Inter" w:hAnsi="Inter" w:cs="Inter"/>
                <w:color w:val="2D2D2D"/>
                <w:sz w:val="21"/>
              </w:rPr>
              <w:t xml:space="preserve">2</w:t>
            </w:r>
          </w:p>
        </w:tc>
      </w:tr>
      <w:tr>
        <w:trPr>
          <w:cantSplit/>
        </w:trPr>
        <w:tc>
          <w:tcPr>
            <w:shd w:val="clear" w:color="auto" w:fill="F7F8F7"/>
          </w:tcPr>
          <w:p>
            <w:pPr>
              <w:spacing w:before="0" w:after="60"/>
            </w:pPr>
            <w:r>
              <w:rPr>
                <w:rFonts w:ascii="Inter" w:hAnsi="Inter" w:cs="Inter"/>
                <w:color w:val="2D2D2D"/>
                <w:sz w:val="21"/>
              </w:rPr>
              <w:t xml:space="preserve">Re-review required — changed or downstream of a change</w:t>
            </w:r>
          </w:p>
        </w:tc>
        <w:tc>
          <w:tcPr>
            <w:shd w:val="clear" w:color="auto" w:fill="F7F8F7"/>
          </w:tcPr>
          <w:p>
            <w:pPr>
              <w:spacing w:before="0" w:after="60"/>
              <w:jc w:val="right"/>
            </w:pPr>
            <w:r>
              <w:rPr>
                <w:rFonts w:ascii="Inter" w:hAnsi="Inter" w:cs="Inter"/>
                <w:color w:val="2D2D2D"/>
                <w:sz w:val="21"/>
              </w:rPr>
              <w:t xml:space="preserve">2,780</w:t>
            </w:r>
          </w:p>
        </w:tc>
      </w:tr>
    </w:tbl>
    <w:p>
      <w:pPr>
        <w:spacing w:before="0" w:after="60"/>
      </w:pPr>
      <w:r>
        <w:rPr>
          <w:rFonts w:ascii="Inter" w:hAnsi="Inter" w:cs="Inter"/>
          <w:color w:val="2D2D2D"/>
          <w:sz w:val="18"/>
        </w:rPr>
        <w:t xml:space="preserve"/>
      </w:r>
    </w:p>
    <w:p>
      <w:pPr>
        <w:spacing w:before="0" w:after="60"/>
      </w:pPr>
      <w:r>
        <w:rPr>
          <w:rFonts w:ascii="Inter" w:hAnsi="Inter" w:cs="Inter"/>
          <w:b/>
          <w:caps/>
          <w:color w:val="6B7280"/>
          <w:sz w:val="21"/>
        </w:rPr>
        <w:t xml:space="preserve">Affected cell locations</w:t>
      </w:r>
    </w:p>
    <w:p>
      <w:pPr>
        <w:spacing w:before="0" w:after="60"/>
      </w:pPr>
      <w:r>
        <w:rPr>
          <w:rFonts w:ascii="Inter" w:hAnsi="Inter" w:cs="Inter"/>
          <w:b/>
          <w:color w:val="6B7280"/>
          <w:sz w:val="21"/>
        </w:rPr>
        <w:t xml:space="preserve">Waterfall: </w:t>
      </w:r>
      <w:r>
        <w:rPr>
          <w:rFonts w:ascii="IBM Plex Mono" w:hAnsi="IBM Plex Mono" w:cs="IBM Plex Mono"/>
          <w:color w:val="2D2D2D"/>
          <w:sz w:val="21"/>
        </w:rPr>
        <w:t xml:space="preserve">AA26, AA35, AA36, AA38, AA39, AA40, AA43, AA46, AA47, AA49, AA50, AA51, AA52, AA55, AA56, AA59, AA60, AA62, AA63, AA64, AA65, AA68, AA69, AA72, AA73, AA75, AA76, AA77, AA78, AA81, AA82, AA85, AA86, AA88, AA91, AA92, AA93, AA94, AA95, AA96, AA97, AA101, AA102, AA103, AA104, AB26, AB35, AB36, AB38, AB39, AB40, AB43, AB46, AB47, AB49, AB50, AB51, AB52, AB55, AB56, AB59, AB60, AB62, AB63, AB64, AB65, AB68, AB69, AB72, AB73, AB75, AB76, AB77, AB78, AB81, AB82, AB85, AB86, AB88, AB91, AB92, AB93, AB94, AB95, AB96, AB97, AB101, AB102, AB103, AB104, AC26, AC35, AC36, AC38, AC39, AC40, AC43, AC46, AC47, AC49, AC50, AC51, AC52, AC55, AC56, AC59, AC60, AC62, AC63, AC64, AC65, AC68, AC69, AC72, AC73, AC75, AC76, AC77, AC78, AC81, AC82, AC85, AC86, AC88, AC91, AC92, AC93, AC94, AC95, AC96, AC97, AC101, AC102, AC103, AC104, AD26, AD35, AD36, AD38, AD39, AD40, AD43, AD46, AD47, AD49, AD50, AD51, AD52, AD55, AD56, AD59, AD60, AD62, AD63, AD64, AD65, AD68, AD69, AD72, AD73, AD75, AD76, AD77, AD78, AD81, AD82, AD85, AD86, AD88, AD91, AD92, AD93, AD94, AD95, AD96, AD97, AD101, AD102, AD103, AD104, AE26, AE35, AE36, AE38, AE39, AE40, AE43, AE46, AE47, AE49, AE50, AE51, AE52, AE55, AE56, AE59, AE60, AE62, AE63, AE64, AE65, AE68, AE69, AE72, AE73, AE75, AE76, AE77, AE78, AE81, AE82, AE85, AE86, AE88, AE91, AE92, AE93, AE94, AE95, AE96, AE97, AE101, AE102, AE103, AE104, AF26, AF35, AF36, AF38, AF39, AF40, AF43, AF46, AF47, AF49, AF50, AF51, AF52, AF55, AF56, AF59, AF60, AF62, AF63, AF64, AF65, AF68, AF69, AF72, AF73, AF75, AF76, AF77, AF78, AF81, AF82, AF85, AF86, AF88, AF91, AF92, AF93, AF94, AF95, AF96, AF97, AF101, AF102, AF103, AF104, AG26, AG35, AG36, AG38, AG39, AG40, AG43, AG46, AG47, AG49, AG50, AG51, AG52, AG55, AG56, AG59, AG60, AG62, AG63, AG64, AG65, AG68, AG69, AG72, AG73, AG75, AG76, AG77, AG78, AG81, AG82, AG85, AG86, AG88, AG91, AG92, AG93, AG94, AG95, AG96, AG97, AG101, AG102, AG103, AG104, AH26, AH35, AH36, AH38, AH39, AH40, AH43, AH46, AH47, AH49, AH50, AH51, AH52, AH55, AH56, AH59, AH60, AH62, AH63, AH64, AH65, AH68, AH69, AH72, AH73, AH75, AH76, AH77, AH78, AH81, AH82, AH85, AH86, AH88, AH91, AH92, AH93, AH94, AH95, AH96, AH97, AH101, AH102, AH103, AH104, AI26, AI35, AI36, AI38, AI39, AI40, AI43, AI46, AI47, AI49, AI50, AI51, AI52, AI55, AI56, AI59, AI60, AI62, AI63, AI64, AI65, AI68, AI69, AI72, AI73, AI75, AI76, AI77, AI78, AI81, AI82, AI85, AI86, AI88, AI91, AI92, AI93, AI94, AI95, AI96, AI97, AI101, AI102, AI103, AI104, AJ26, AJ35, AJ36, AJ38, AJ39, AJ40, AJ43, AJ46, AJ47, AJ49, AJ50, AJ51, AJ52, AJ55, AJ56, AJ59, AJ60, AJ62, AJ63, AJ64, AJ65, AJ68, AJ69, AJ72, AJ73, AJ75, AJ76, AJ77, AJ78, AJ81, AJ82, AJ85, AJ86, AJ88, AJ91, AJ92, AJ93, AJ94, AJ95, AJ96, AJ97, AJ101, AJ102, AJ103, AJ104, AK26, AK35, AK36, AK38, AK39, AK40, AK43, AK46, AK47, AK49, AK50, AK51, AK52, AK55, AK56, AK59, AK60, AK62, AK63, AK64, AK65, AK68, AK69, AK72, AK73, AK75, AK76, AK77, AK78, AK81, AK82, AK85, AK86, AK88, AK91, AK92, AK93, AK94, AK95, AK96, AK97, AK101, AK102, AK103, AK104, AL26, AL35, AL36, AL38, AL39</w:t>
      </w:r>
    </w:p>
    <w:p>
      <w:pPr>
        <w:spacing w:before="0" w:after="120"/>
      </w:pPr>
      <w:r>
        <w:rPr>
          <w:rFonts w:ascii="Inter" w:hAnsi="Inter" w:cs="Inter"/>
          <w:color w:val="6B7280"/>
          <w:sz w:val="21"/>
        </w:rPr>
        <w:t xml:space="preserve">and 2,280 further location(s)</w:t>
      </w:r>
    </w:p>
    <w:p>
      <w:pPr>
        <w:spacing w:before="960" w:after="180"/>
        <w:keepNext/>
        <w:pBdr>
          <w:bottom w:val="single" w:sz="6" w:space="4" w:color="E5E7EB"/>
        </w:pBdr>
      </w:pPr>
      <w:r>
        <w:rPr>
          <w:rFonts w:ascii="Inter" w:hAnsi="Inter" w:cs="Inter"/>
          <w:b/>
          <w:color w:val="1A1D1B"/>
          <w:sz w:val="22"/>
        </w:rPr>
        <w:t xml:space="preserve">5. Scope and Report Information</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800"/>
        <w:gridCol w:w="6560"/>
      </w:tblGrid>
      <w:tr>
        <w:tc>
          <w:tcPr>
            <w:shd w:val="clear" w:color="auto" w:fill="F7F8F7"/>
          </w:tcPr>
          <w:p>
            <w:pPr>
              <w:spacing w:before="0" w:after="60"/>
            </w:pPr>
            <w:r>
              <w:rPr>
                <w:rFonts w:ascii="Inter" w:hAnsi="Inter" w:cs="Inter"/>
                <w:b/>
                <w:caps/>
                <w:color w:val="6B7280"/>
                <w:sz w:val="18"/>
              </w:rPr>
              <w:t xml:space="preserve">Field</w:t>
            </w:r>
          </w:p>
        </w:tc>
        <w:tc>
          <w:tcPr>
            <w:shd w:val="clear" w:color="auto" w:fill="F7F8F7"/>
          </w:tcPr>
          <w:p>
            <w:pPr>
              <w:spacing w:before="0" w:after="60"/>
            </w:pPr>
            <w:r>
              <w:rPr>
                <w:rFonts w:ascii="Inter" w:hAnsi="Inter" w:cs="Inter"/>
                <w:b/>
                <w:caps/>
                <w:color w:val="6B7280"/>
                <w:sz w:val="18"/>
              </w:rPr>
              <w:t xml:space="preserve">Value</w:t>
            </w:r>
          </w:p>
        </w:tc>
      </w:tr>
      <w:tr>
        <w:trPr>
          <w:cantSplit/>
        </w:trPr>
        <w:tc>
          <w:tcPr/>
          <w:p>
            <w:pPr>
              <w:spacing w:before="0" w:after="60"/>
            </w:pPr>
            <w:r>
              <w:rPr>
                <w:rFonts w:ascii="Inter" w:hAnsi="Inter" w:cs="Inter"/>
                <w:color w:val="2D2D2D"/>
                <w:sz w:val="21"/>
              </w:rPr>
              <w:t xml:space="preserve">Reference workbook</w:t>
            </w:r>
          </w:p>
        </w:tc>
        <w:tc>
          <w:tcPr/>
          <w:p>
            <w:pPr>
              <w:spacing w:before="0" w:after="60"/>
            </w:pPr>
            <w:r>
              <w:rPr>
                <w:rFonts w:ascii="IBM Plex Mono" w:hAnsi="IBM Plex Mono" w:cs="IBM Plex Mono"/>
                <w:color w:val="2D2D2D"/>
                <w:sz w:val="21"/>
              </w:rPr>
              <w:t xml:space="preserve">5-Tier Equity Waterfall with MOIC and IRR Hurdles.xlsx</w:t>
            </w:r>
          </w:p>
        </w:tc>
      </w:tr>
      <w:tr>
        <w:trPr>
          <w:cantSplit/>
        </w:trPr>
        <w:tc>
          <w:tcPr>
            <w:shd w:val="clear" w:color="auto" w:fill="F7F8F7"/>
          </w:tcPr>
          <w:p>
            <w:pPr>
              <w:spacing w:before="0" w:after="60"/>
            </w:pPr>
            <w:r>
              <w:rPr>
                <w:rFonts w:ascii="Inter" w:hAnsi="Inter" w:cs="Inter"/>
                <w:color w:val="2D2D2D"/>
                <w:sz w:val="21"/>
              </w:rPr>
              <w:t xml:space="preserve">Candidate workbook</w:t>
            </w:r>
          </w:p>
        </w:tc>
        <w:tc>
          <w:tcPr>
            <w:shd w:val="clear" w:color="auto" w:fill="F7F8F7"/>
          </w:tcPr>
          <w:p>
            <w:pPr>
              <w:spacing w:before="0" w:after="60"/>
            </w:pPr>
            <w:r>
              <w:rPr>
                <w:rFonts w:ascii="IBM Plex Mono" w:hAnsi="IBM Plex Mono" w:cs="IBM Plex Mono"/>
                <w:color w:val="2D2D2D"/>
                <w:sz w:val="21"/>
              </w:rPr>
              <w:t xml:space="preserve">5-Tier TEST Equity Waterfall with MOIC and IRR Hurdles.xlsx</w:t>
            </w:r>
          </w:p>
        </w:tc>
      </w:tr>
      <w:tr>
        <w:trPr>
          <w:cantSplit/>
        </w:trPr>
        <w:tc>
          <w:tcPr/>
          <w:p>
            <w:pPr>
              <w:spacing w:before="0" w:after="60"/>
            </w:pPr>
            <w:r>
              <w:rPr>
                <w:rFonts w:ascii="Inter" w:hAnsi="Inter" w:cs="Inter"/>
                <w:color w:val="2D2D2D"/>
                <w:sz w:val="21"/>
              </w:rPr>
              <w:t xml:space="preserve">Comparison result</w:t>
            </w:r>
          </w:p>
        </w:tc>
        <w:tc>
          <w:tcPr/>
          <w:p>
            <w:pPr>
              <w:spacing w:before="0" w:after="60"/>
            </w:pPr>
            <w:r>
              <w:rPr>
                <w:rFonts w:ascii="IBM Plex Mono" w:hAnsi="IBM Plex Mono" w:cs="IBM Plex Mono"/>
                <w:color w:val="2D2D2D"/>
                <w:sz w:val="21"/>
              </w:rPr>
              <w:t xml:space="preserve">CALCULATION CHANGES IDENTIFIED</w:t>
            </w:r>
          </w:p>
        </w:tc>
      </w:tr>
      <w:tr>
        <w:trPr>
          <w:cantSplit/>
        </w:trPr>
        <w:tc>
          <w:tcPr>
            <w:shd w:val="clear" w:color="auto" w:fill="F7F8F7"/>
          </w:tcPr>
          <w:p>
            <w:pPr>
              <w:spacing w:before="0" w:after="60"/>
            </w:pPr>
            <w:r>
              <w:rPr>
                <w:rFonts w:ascii="Inter" w:hAnsi="Inter" w:cs="Inter"/>
                <w:color w:val="2D2D2D"/>
                <w:sz w:val="21"/>
              </w:rPr>
              <w:t xml:space="preserve">Engine classification</w:t>
            </w:r>
          </w:p>
        </w:tc>
        <w:tc>
          <w:tcPr>
            <w:shd w:val="clear" w:color="auto" w:fill="F7F8F7"/>
          </w:tcPr>
          <w:p>
            <w:pPr>
              <w:spacing w:before="0" w:after="60"/>
            </w:pPr>
            <w:r>
              <w:rPr>
                <w:rFonts w:ascii="IBM Plex Mono" w:hAnsi="IBM Plex Mono" w:cs="IBM Plex Mono"/>
                <w:color w:val="2D2D2D"/>
                <w:sz w:val="21"/>
              </w:rPr>
              <w:t xml:space="preserve">COMPUTATIONAL</w:t>
            </w:r>
          </w:p>
        </w:tc>
      </w:tr>
      <w:tr>
        <w:trPr>
          <w:cantSplit/>
        </w:trPr>
        <w:tc>
          <w:tcPr/>
          <w:p>
            <w:pPr>
              <w:spacing w:before="0" w:after="60"/>
            </w:pPr>
            <w:r>
              <w:rPr>
                <w:rFonts w:ascii="Inter" w:hAnsi="Inter" w:cs="Inter"/>
                <w:color w:val="2D2D2D"/>
                <w:sz w:val="21"/>
              </w:rPr>
              <w:t xml:space="preserve">Compared</w:t>
            </w:r>
          </w:p>
        </w:tc>
        <w:tc>
          <w:tcPr/>
          <w:p>
            <w:pPr>
              <w:spacing w:before="0" w:after="60"/>
            </w:pPr>
            <w:r>
              <w:rPr>
                <w:rFonts w:ascii="IBM Plex Mono" w:hAnsi="IBM Plex Mono" w:cs="IBM Plex Mono"/>
                <w:color w:val="2D2D2D"/>
                <w:sz w:val="21"/>
              </w:rPr>
              <w:t xml:space="preserve">3 August 2026</w:t>
            </w:r>
          </w:p>
        </w:tc>
      </w:tr>
      <w:tr>
        <w:trPr>
          <w:cantSplit/>
        </w:trPr>
        <w:tc>
          <w:tcPr>
            <w:shd w:val="clear" w:color="auto" w:fill="F7F8F7"/>
          </w:tcPr>
          <w:p>
            <w:pPr>
              <w:spacing w:before="0" w:after="60"/>
            </w:pPr>
            <w:r>
              <w:rPr>
                <w:rFonts w:ascii="Inter" w:hAnsi="Inter" w:cs="Inter"/>
                <w:color w:val="2D2D2D"/>
                <w:sz w:val="21"/>
              </w:rPr>
              <w:t xml:space="preserve">Product version</w:t>
            </w:r>
          </w:p>
        </w:tc>
        <w:tc>
          <w:tcPr>
            <w:shd w:val="clear" w:color="auto" w:fill="F7F8F7"/>
          </w:tcPr>
          <w:p>
            <w:pPr>
              <w:spacing w:before="0" w:after="60"/>
            </w:pPr>
            <w:r>
              <w:rPr>
                <w:rFonts w:ascii="IBM Plex Mono" w:hAnsi="IBM Plex Mono" w:cs="IBM Plex Mono"/>
                <w:color w:val="2D2D2D"/>
                <w:sz w:val="21"/>
              </w:rPr>
              <w:t xml:space="preserve">OXXON VERIFY · OVI/1.0</w:t>
            </w:r>
          </w:p>
        </w:tc>
      </w:tr>
      <w:tr>
        <w:trPr>
          <w:cantSplit/>
        </w:trPr>
        <w:tc>
          <w:tcPr/>
          <w:p>
            <w:pPr>
              <w:spacing w:before="0" w:after="60"/>
            </w:pPr>
            <w:r>
              <w:rPr>
                <w:rFonts w:ascii="Inter" w:hAnsi="Inter" w:cs="Inter"/>
                <w:color w:val="2D2D2D"/>
                <w:sz w:val="21"/>
              </w:rPr>
              <w:t xml:space="preserve">Comparison reference</w:t>
            </w:r>
          </w:p>
        </w:tc>
        <w:tc>
          <w:tcPr/>
          <w:p>
            <w:pPr>
              <w:spacing w:before="0" w:after="60"/>
            </w:pPr>
            <w:r>
              <w:rPr>
                <w:rFonts w:ascii="IBM Plex Mono" w:hAnsi="IBM Plex Mono" w:cs="IBM Plex Mono"/>
                <w:color w:val="2D2D2D"/>
                <w:sz w:val="21"/>
              </w:rPr>
              <w:t xml:space="preserve">1CF82B6B006814E8</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D1D5DB"/>
              <w:bottom w:val="single" w:sz="4" w:space="0" w:color="D1D5DB"/>
              <w:right w:val="single" w:sz="4" w:space="0" w:color="D1D5DB"/>
            </w:tcBorders>
            <w:shd w:val="clear" w:color="auto" w:fill="F7F8F7"/>
            <w:tcMar>
              <w:top w:w="60" w:type="dxa"/>
              <w:left w:w="150" w:type="dxa"/>
              <w:bottom w:w="60" w:type="dxa"/>
              <w:right w:w="150" w:type="dxa"/>
            </w:tcMar>
          </w:tcPr>
          <w:p>
            <w:pPr>
              <w:spacing w:before="0" w:after="60"/>
            </w:pPr>
            <w:r>
              <w:rPr>
                <w:rFonts w:ascii="Inter" w:hAnsi="Inter" w:cs="Inter"/>
                <w:b/>
                <w:caps/>
                <w:color w:val="6B7280"/>
                <w:sz w:val="18"/>
              </w:rPr>
              <w:t xml:space="preserve">SCOPE   </w:t>
            </w:r>
            <w:r>
              <w:rPr>
                <w:rFonts w:ascii="Inter" w:hAnsi="Inter" w:cs="Inter"/>
                <w:color w:val="6B7280"/>
                <w:sz w:val="18"/>
              </w:rPr>
              <w:t xml:space="preserve">This report compares two versions of the same workbook and states what differs between them. It does not verify that either version is correct, does not assess commercial or market assumptions, and is not an audit opinion or a regulated assurance engagement.</w:t>
            </w:r>
          </w:p>
          <w:p>
            <w:pPr>
              <w:spacing w:before="0" w:after="60"/>
            </w:pPr>
            <w:r>
              <w:rPr>
                <w:rFonts w:ascii="Inter" w:hAnsi="Inter" w:cs="Inter"/>
                <w:color w:val="6B7280"/>
                <w:sz w:val="18"/>
              </w:rPr>
              <w:t xml:space="preserve">The comparison is deterministic over the workbook content represented by the comparison model. Every comparable item is accounted for exactly once. Formulas are shown in a standardised form representing the same calculation and may differ from the original text in spacing or notation. Items the engine could not pair by a deterministic rule are reported as unmatched rather than guessed at.</w:t>
            </w:r>
          </w:p>
        </w:tc>
      </w:tr>
    </w:tbl>
    <w:p>
      <w:pPr>
        <w:spacing w:before="960" w:after="180"/>
        <w:keepNext/>
        <w:pBdr>
          <w:bottom w:val="single" w:sz="6" w:space="4" w:color="E5E7EB"/>
        </w:pBdr>
      </w:pPr>
      <w:r>
        <w:rPr>
          <w:rFonts w:ascii="Inter" w:hAnsi="Inter" w:cs="Inter"/>
          <w:b/>
          <w:color w:val="1A1D1B"/>
          <w:sz w:val="22"/>
        </w:rPr>
        <w:t xml:space="preserve">6. Conclusion</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4"/>
              </w:rPr>
              <w:t xml:space="preserve">The comparison establishes a defined re-verification requirement for the Candidate.</w:t>
            </w:r>
          </w:p>
          <w:p>
            <w:pPr>
              <w:spacing w:before="0" w:after="60"/>
            </w:pPr>
            <w:r>
              <w:rPr>
                <w:rFonts w:ascii="Inter" w:hAnsi="Inter" w:cs="Inter"/>
                <w:color w:val="2D2D2D"/>
                <w:sz w:val="21"/>
              </w:rPr>
              <w:t xml:space="preserve">The deterministic comparison identified changes between the Reference and Candidate and produced 2,782 re-verification obligation(s), comprising the applicable removed, re-review and new items. These obligations identify the portions of the Candidate for which conclusions carried from the Reference require renewed review.</w:t>
            </w:r>
          </w:p>
          <w:p>
            <w:pPr>
              <w:spacing w:before="0" w:after="60"/>
            </w:pPr>
            <w:r>
              <w:rPr>
                <w:rFonts w:ascii="Inter" w:hAnsi="Inter" w:cs="Inter"/>
                <w:color w:val="2D2D2D"/>
                <w:sz w:val="21"/>
              </w:rPr>
              <w:t xml:space="preserve">The Technical Report provides the corresponding change records, locations, Previous/Current evidence where available, structural changes and comparison accounting needed to trace that review scope. Items that could not be deterministically paired remain explicitly identified rather than inferred.</w:t>
            </w:r>
          </w:p>
          <w:p>
            <w:pPr>
              <w:spacing w:before="0" w:after="60"/>
            </w:pPr>
            <w:r>
              <w:rPr>
                <w:rFonts w:ascii="Inter" w:hAnsi="Inter" w:cs="Inter"/>
                <w:color w:val="2D2D2D"/>
                <w:sz w:val="21"/>
              </w:rPr>
              <w:t xml:space="preserve">Completion of the identified review and re-verification obligations is required before conclusions established from the Reference are carried forward to the Candidate.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7F8F7"/>
            <w:tcMar>
              <w:top w:w="60" w:type="dxa"/>
              <w:left w:w="150" w:type="dxa"/>
              <w:bottom w:w="60" w:type="dxa"/>
              <w:right w:w="150" w:type="dxa"/>
            </w:tcMar>
          </w:tcPr>
          <w:p>
            <w:pPr>
              <w:spacing w:before="0" w:after="0"/>
            </w:pPr>
            <w:r>
              <w:rPr>
                <w:rFonts w:ascii="Inter" w:hAnsi="Inter" w:cs="Inter"/>
                <w:b/>
                <w:color w:val="1A1D1B"/>
                <w:sz w:val="21"/>
              </w:rPr>
              <w:t xml:space="preserve">Recommended review status: </w:t>
            </w:r>
            <w:r>
              <w:rPr>
                <w:rFonts w:ascii="Inter" w:hAnsi="Inter" w:cs="Inter"/>
                <w:b/>
                <w:color w:val="1A1D1B"/>
                <w:sz w:val="21"/>
              </w:rPr>
              <w:t xml:space="preserve">RE-VERIFICATION REQUIRED</w:t>
            </w:r>
          </w:p>
        </w:tc>
      </w:tr>
    </w:tbl>
    <w:sectPr>
      <w:pgSz w:w="12240" w:h="15840"/>
      <w:pgMar w:top="1440" w:right="1440" w:bottom="1440" w:left="1440" w:header="720" w:footer="720" w:gutter="0"/>
    </w:sectPr>
  </w:body>
</w:document>
</file>